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87"/>
        <w:gridCol w:w="1440"/>
      </w:tblGrid>
      <w:tr w:rsidR="001C7ABE" w14:paraId="00A32F11" w14:textId="77777777">
        <w:trPr>
          <w:trHeight w:val="990"/>
        </w:trPr>
        <w:tc>
          <w:tcPr>
            <w:tcW w:w="1363" w:type="dxa"/>
          </w:tcPr>
          <w:p w14:paraId="200C9E3D" w14:textId="77777777" w:rsidR="001C7ABE" w:rsidRDefault="001C7ABE" w:rsidP="001C7ABE">
            <w:pPr>
              <w:rPr>
                <w:sz w:val="24"/>
              </w:rPr>
            </w:pPr>
            <w:r>
              <w:rPr>
                <w:noProof/>
                <w:spacing w:val="-2"/>
              </w:rPr>
              <w:drawing>
                <wp:inline distT="0" distB="0" distL="0" distR="0" wp14:anchorId="62D80FBA" wp14:editId="15E02FC9">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1F1F4F3F" w14:textId="77777777" w:rsidR="001C7ABE" w:rsidRPr="00DC2A61" w:rsidRDefault="001C7ABE" w:rsidP="001C7ABE">
            <w:pPr>
              <w:suppressAutoHyphens/>
              <w:spacing w:line="204" w:lineRule="auto"/>
              <w:jc w:val="center"/>
              <w:rPr>
                <w:rFonts w:ascii="Arial" w:hAnsi="Arial"/>
                <w:color w:val="1F497D" w:themeColor="text2"/>
                <w:spacing w:val="-3"/>
                <w:sz w:val="26"/>
              </w:rPr>
            </w:pPr>
            <w:r w:rsidRPr="00DC2A61">
              <w:rPr>
                <w:rFonts w:ascii="Arial" w:hAnsi="Arial"/>
                <w:color w:val="1F497D" w:themeColor="text2"/>
                <w:spacing w:val="-3"/>
                <w:sz w:val="26"/>
              </w:rPr>
              <w:t>COMMONWEALTH OF PENNSYLVANIA</w:t>
            </w:r>
          </w:p>
          <w:p w14:paraId="0F2FE980" w14:textId="77777777" w:rsidR="001C7ABE" w:rsidRPr="00DC2A61" w:rsidRDefault="001C7ABE" w:rsidP="001C7ABE">
            <w:pPr>
              <w:suppressAutoHyphens/>
              <w:spacing w:line="204" w:lineRule="auto"/>
              <w:jc w:val="center"/>
              <w:rPr>
                <w:rFonts w:ascii="Arial" w:hAnsi="Arial"/>
                <w:color w:val="1F497D" w:themeColor="text2"/>
                <w:spacing w:val="-3"/>
                <w:sz w:val="26"/>
              </w:rPr>
            </w:pPr>
            <w:r w:rsidRPr="00DC2A61">
              <w:rPr>
                <w:rFonts w:ascii="Arial" w:hAnsi="Arial"/>
                <w:color w:val="1F497D" w:themeColor="text2"/>
                <w:spacing w:val="-3"/>
                <w:sz w:val="26"/>
              </w:rPr>
              <w:t>PENNSYLVANIA PUBLIC UTILITY COMMISSION</w:t>
            </w:r>
          </w:p>
          <w:p w14:paraId="5C3523EB" w14:textId="18B86346" w:rsidR="001C7ABE" w:rsidRPr="00DC2A61" w:rsidRDefault="001C7ABE" w:rsidP="001C7ABE">
            <w:pPr>
              <w:jc w:val="center"/>
              <w:rPr>
                <w:rFonts w:ascii="Arial" w:hAnsi="Arial"/>
                <w:color w:val="1F497D" w:themeColor="text2"/>
                <w:sz w:val="12"/>
              </w:rPr>
            </w:pPr>
            <w:r w:rsidRPr="00DC2A61">
              <w:rPr>
                <w:rFonts w:ascii="Arial" w:hAnsi="Arial"/>
                <w:color w:val="1F497D" w:themeColor="text2"/>
                <w:spacing w:val="-3"/>
                <w:sz w:val="26"/>
              </w:rPr>
              <w:t>400 NORTH STREET, HARRISBURG, PA 17120</w:t>
            </w:r>
          </w:p>
        </w:tc>
        <w:tc>
          <w:tcPr>
            <w:tcW w:w="1440" w:type="dxa"/>
          </w:tcPr>
          <w:p w14:paraId="7DAFE188" w14:textId="77777777" w:rsidR="001C7ABE" w:rsidRPr="008516FB" w:rsidRDefault="001C7ABE" w:rsidP="001C7ABE">
            <w:pPr>
              <w:rPr>
                <w:rFonts w:ascii="Arial" w:hAnsi="Arial"/>
                <w:sz w:val="12"/>
              </w:rPr>
            </w:pPr>
          </w:p>
          <w:p w14:paraId="5F6C2593" w14:textId="77777777" w:rsidR="001C7ABE" w:rsidRPr="008516FB" w:rsidRDefault="001C7ABE" w:rsidP="001C7ABE">
            <w:pPr>
              <w:rPr>
                <w:rFonts w:ascii="Arial" w:hAnsi="Arial"/>
                <w:sz w:val="12"/>
              </w:rPr>
            </w:pPr>
          </w:p>
          <w:p w14:paraId="52EA6C51" w14:textId="77777777" w:rsidR="001C7ABE" w:rsidRPr="008516FB" w:rsidRDefault="001C7ABE" w:rsidP="001C7ABE">
            <w:pPr>
              <w:rPr>
                <w:rFonts w:ascii="Arial" w:hAnsi="Arial"/>
                <w:sz w:val="12"/>
              </w:rPr>
            </w:pPr>
          </w:p>
          <w:p w14:paraId="064A3932" w14:textId="77777777" w:rsidR="001C7ABE" w:rsidRPr="008516FB" w:rsidRDefault="001C7ABE" w:rsidP="001C7ABE">
            <w:pPr>
              <w:rPr>
                <w:rFonts w:ascii="Arial" w:hAnsi="Arial"/>
                <w:sz w:val="12"/>
              </w:rPr>
            </w:pPr>
          </w:p>
          <w:p w14:paraId="6880D781" w14:textId="77777777" w:rsidR="001C7ABE" w:rsidRPr="008516FB" w:rsidRDefault="001C7ABE" w:rsidP="001C7ABE">
            <w:pPr>
              <w:rPr>
                <w:rFonts w:ascii="Arial" w:hAnsi="Arial"/>
                <w:sz w:val="12"/>
              </w:rPr>
            </w:pPr>
          </w:p>
          <w:p w14:paraId="31D84D60" w14:textId="77777777" w:rsidR="001C7ABE" w:rsidRPr="008516FB" w:rsidRDefault="001C7ABE" w:rsidP="001C7ABE">
            <w:pPr>
              <w:rPr>
                <w:rFonts w:ascii="Arial" w:hAnsi="Arial"/>
                <w:sz w:val="12"/>
              </w:rPr>
            </w:pPr>
          </w:p>
          <w:p w14:paraId="6ABFEAD0" w14:textId="07643182" w:rsidR="001C7ABE" w:rsidRDefault="001C7ABE" w:rsidP="00AD235D">
            <w:pPr>
              <w:ind w:left="-300"/>
              <w:jc w:val="right"/>
              <w:rPr>
                <w:rFonts w:ascii="Arial" w:hAnsi="Arial"/>
                <w:b/>
                <w:spacing w:val="-1"/>
                <w:sz w:val="12"/>
              </w:rPr>
            </w:pPr>
            <w:r w:rsidRPr="008516FB">
              <w:rPr>
                <w:rFonts w:ascii="Arial" w:hAnsi="Arial"/>
                <w:b/>
                <w:spacing w:val="-1"/>
                <w:sz w:val="12"/>
              </w:rPr>
              <w:t>IN REPLY PLEASE REFER TO OUR FILE</w:t>
            </w:r>
            <w:r w:rsidR="00ED63FB">
              <w:rPr>
                <w:rFonts w:ascii="Arial" w:hAnsi="Arial"/>
                <w:b/>
                <w:spacing w:val="-1"/>
                <w:sz w:val="12"/>
              </w:rPr>
              <w:t>:</w:t>
            </w:r>
          </w:p>
          <w:p w14:paraId="29CC0884" w14:textId="74104F8D" w:rsidR="00AD235D" w:rsidRPr="00AD235D" w:rsidRDefault="00AD235D" w:rsidP="00AD235D">
            <w:pPr>
              <w:ind w:left="-300"/>
              <w:jc w:val="right"/>
              <w:rPr>
                <w:rFonts w:ascii="Arial" w:hAnsi="Arial"/>
                <w:b/>
                <w:spacing w:val="-1"/>
                <w:sz w:val="16"/>
                <w:szCs w:val="24"/>
              </w:rPr>
            </w:pPr>
            <w:r w:rsidRPr="00AD235D">
              <w:rPr>
                <w:rFonts w:ascii="Arial" w:hAnsi="Arial"/>
                <w:b/>
                <w:spacing w:val="-1"/>
                <w:sz w:val="16"/>
                <w:szCs w:val="24"/>
              </w:rPr>
              <w:t>Docket No.</w:t>
            </w:r>
          </w:p>
          <w:p w14:paraId="0CD91FBC" w14:textId="240D95F6" w:rsidR="008B0AD2" w:rsidRPr="00E23926" w:rsidRDefault="008B0AD2" w:rsidP="001C7ABE">
            <w:pPr>
              <w:jc w:val="right"/>
              <w:rPr>
                <w:rFonts w:ascii="Arial" w:hAnsi="Arial"/>
                <w:sz w:val="16"/>
                <w:szCs w:val="16"/>
              </w:rPr>
            </w:pPr>
            <w:r w:rsidRPr="00AD235D">
              <w:rPr>
                <w:rFonts w:ascii="Arial" w:hAnsi="Arial"/>
                <w:b/>
                <w:spacing w:val="-1"/>
                <w:sz w:val="16"/>
                <w:szCs w:val="24"/>
              </w:rPr>
              <w:t>M-2021-302</w:t>
            </w:r>
            <w:r w:rsidR="00ED63FB" w:rsidRPr="00AD235D">
              <w:rPr>
                <w:rFonts w:ascii="Arial" w:hAnsi="Arial"/>
                <w:b/>
                <w:spacing w:val="-1"/>
                <w:sz w:val="16"/>
                <w:szCs w:val="24"/>
              </w:rPr>
              <w:t>4513</w:t>
            </w:r>
          </w:p>
        </w:tc>
      </w:tr>
    </w:tbl>
    <w:p w14:paraId="771F7808" w14:textId="3FC05331" w:rsidR="00C26B8C" w:rsidRDefault="001A3C0F" w:rsidP="001A3C0F">
      <w:pPr>
        <w:jc w:val="center"/>
        <w:rPr>
          <w:sz w:val="22"/>
          <w:szCs w:val="22"/>
        </w:rPr>
      </w:pPr>
      <w:r>
        <w:rPr>
          <w:sz w:val="22"/>
          <w:szCs w:val="22"/>
        </w:rPr>
        <w:t>June 3, 2021</w:t>
      </w:r>
    </w:p>
    <w:p w14:paraId="550490F9" w14:textId="21E742C4" w:rsidR="009B4557" w:rsidRPr="00AD235D" w:rsidRDefault="009B4557" w:rsidP="00AD235D">
      <w:pPr>
        <w:jc w:val="center"/>
        <w:rPr>
          <w:b/>
          <w:bCs/>
          <w:sz w:val="24"/>
          <w:szCs w:val="24"/>
        </w:rPr>
      </w:pPr>
    </w:p>
    <w:p w14:paraId="2640D1EF" w14:textId="77777777" w:rsidR="00086F2D" w:rsidRPr="00694E70" w:rsidRDefault="00086F2D" w:rsidP="00710DBE">
      <w:pPr>
        <w:rPr>
          <w:sz w:val="24"/>
          <w:szCs w:val="24"/>
        </w:rPr>
      </w:pPr>
    </w:p>
    <w:p w14:paraId="2B3A7940" w14:textId="77777777" w:rsidR="00710DBE" w:rsidRPr="00694E70" w:rsidRDefault="00710DBE" w:rsidP="00710DBE">
      <w:pPr>
        <w:rPr>
          <w:sz w:val="24"/>
          <w:szCs w:val="24"/>
        </w:rPr>
      </w:pPr>
      <w:r w:rsidRPr="00694E70">
        <w:rPr>
          <w:sz w:val="24"/>
          <w:szCs w:val="24"/>
        </w:rPr>
        <w:t>TO ALL INTERESTED PARTIES:</w:t>
      </w:r>
    </w:p>
    <w:p w14:paraId="7D4A4917" w14:textId="77777777" w:rsidR="00710DBE" w:rsidRPr="00694E70" w:rsidRDefault="00710DBE" w:rsidP="00710DBE">
      <w:pPr>
        <w:rPr>
          <w:sz w:val="24"/>
          <w:szCs w:val="24"/>
        </w:rPr>
      </w:pPr>
    </w:p>
    <w:p w14:paraId="5CC86147" w14:textId="68B91461" w:rsidR="00FD5436" w:rsidRPr="00694E70" w:rsidRDefault="00307364" w:rsidP="00E36089">
      <w:pPr>
        <w:ind w:left="1440" w:hanging="720"/>
        <w:rPr>
          <w:sz w:val="24"/>
          <w:szCs w:val="24"/>
        </w:rPr>
      </w:pPr>
      <w:r w:rsidRPr="00694E70">
        <w:rPr>
          <w:sz w:val="24"/>
          <w:szCs w:val="24"/>
        </w:rPr>
        <w:t>Re:</w:t>
      </w:r>
      <w:r w:rsidRPr="00694E70">
        <w:rPr>
          <w:sz w:val="24"/>
          <w:szCs w:val="24"/>
        </w:rPr>
        <w:tab/>
      </w:r>
      <w:r w:rsidR="005029A9" w:rsidRPr="00694E70">
        <w:rPr>
          <w:sz w:val="24"/>
          <w:szCs w:val="24"/>
        </w:rPr>
        <w:t xml:space="preserve">Collaborative Meeting Notice </w:t>
      </w:r>
      <w:r w:rsidR="00D339B2" w:rsidRPr="00694E70">
        <w:rPr>
          <w:sz w:val="24"/>
          <w:szCs w:val="24"/>
        </w:rPr>
        <w:t>R</w:t>
      </w:r>
      <w:r w:rsidR="005029A9" w:rsidRPr="00694E70">
        <w:rPr>
          <w:sz w:val="24"/>
          <w:szCs w:val="24"/>
        </w:rPr>
        <w:t xml:space="preserve">egarding </w:t>
      </w:r>
      <w:r w:rsidR="00C26B8C" w:rsidRPr="00694E70">
        <w:rPr>
          <w:sz w:val="24"/>
          <w:szCs w:val="24"/>
        </w:rPr>
        <w:t xml:space="preserve">Reliability </w:t>
      </w:r>
      <w:r w:rsidR="00BF6698" w:rsidRPr="00694E70">
        <w:rPr>
          <w:sz w:val="24"/>
          <w:szCs w:val="24"/>
        </w:rPr>
        <w:t>by Electric Distribution Companies</w:t>
      </w:r>
      <w:r w:rsidR="003A3858" w:rsidRPr="00694E70">
        <w:rPr>
          <w:sz w:val="24"/>
          <w:szCs w:val="24"/>
        </w:rPr>
        <w:t xml:space="preserve"> (EDCs)</w:t>
      </w:r>
    </w:p>
    <w:p w14:paraId="18EA367B" w14:textId="77777777" w:rsidR="00FD5436" w:rsidRPr="00694E70" w:rsidRDefault="00FD5436" w:rsidP="00DC2A61">
      <w:pPr>
        <w:autoSpaceDE w:val="0"/>
        <w:autoSpaceDN w:val="0"/>
        <w:adjustRightInd w:val="0"/>
        <w:ind w:firstLine="720"/>
        <w:rPr>
          <w:sz w:val="24"/>
          <w:szCs w:val="24"/>
        </w:rPr>
      </w:pPr>
    </w:p>
    <w:p w14:paraId="23264691" w14:textId="5DB8D9E8" w:rsidR="00D91083" w:rsidRPr="00D91083" w:rsidRDefault="003015BC" w:rsidP="00D91083">
      <w:pPr>
        <w:autoSpaceDE w:val="0"/>
        <w:autoSpaceDN w:val="0"/>
        <w:adjustRightInd w:val="0"/>
        <w:rPr>
          <w:b/>
          <w:bCs/>
          <w:sz w:val="24"/>
          <w:szCs w:val="24"/>
        </w:rPr>
      </w:pPr>
      <w:r>
        <w:rPr>
          <w:b/>
          <w:bCs/>
          <w:sz w:val="24"/>
          <w:szCs w:val="24"/>
        </w:rPr>
        <w:t xml:space="preserve">Electric Reliability Collaborative </w:t>
      </w:r>
      <w:r w:rsidR="00261EC0">
        <w:rPr>
          <w:b/>
          <w:bCs/>
          <w:sz w:val="24"/>
          <w:szCs w:val="24"/>
        </w:rPr>
        <w:t>Notice</w:t>
      </w:r>
    </w:p>
    <w:p w14:paraId="287E0C03" w14:textId="77777777" w:rsidR="00D91083" w:rsidRDefault="00D91083" w:rsidP="00981A5A">
      <w:pPr>
        <w:autoSpaceDE w:val="0"/>
        <w:autoSpaceDN w:val="0"/>
        <w:adjustRightInd w:val="0"/>
        <w:ind w:firstLine="720"/>
        <w:rPr>
          <w:sz w:val="24"/>
          <w:szCs w:val="24"/>
        </w:rPr>
      </w:pPr>
    </w:p>
    <w:p w14:paraId="4FC96D92" w14:textId="3342041D" w:rsidR="0016731F" w:rsidRDefault="004C7AD6" w:rsidP="00981A5A">
      <w:pPr>
        <w:autoSpaceDE w:val="0"/>
        <w:autoSpaceDN w:val="0"/>
        <w:adjustRightInd w:val="0"/>
        <w:ind w:firstLine="720"/>
        <w:rPr>
          <w:sz w:val="24"/>
          <w:szCs w:val="24"/>
        </w:rPr>
      </w:pPr>
      <w:r>
        <w:rPr>
          <w:sz w:val="24"/>
          <w:szCs w:val="24"/>
        </w:rPr>
        <w:t>With this Secretarial Letter, t</w:t>
      </w:r>
      <w:r w:rsidR="00E96226" w:rsidRPr="00694E70">
        <w:rPr>
          <w:sz w:val="24"/>
          <w:szCs w:val="24"/>
        </w:rPr>
        <w:t xml:space="preserve">he </w:t>
      </w:r>
      <w:r w:rsidR="00C20C6C">
        <w:rPr>
          <w:sz w:val="24"/>
          <w:szCs w:val="24"/>
        </w:rPr>
        <w:t>Pennsylvania Public Utility Commission (</w:t>
      </w:r>
      <w:r w:rsidR="00E96226" w:rsidRPr="00694E70">
        <w:rPr>
          <w:sz w:val="24"/>
          <w:szCs w:val="24"/>
        </w:rPr>
        <w:t>Commission</w:t>
      </w:r>
      <w:r w:rsidR="00C20C6C">
        <w:rPr>
          <w:sz w:val="24"/>
          <w:szCs w:val="24"/>
        </w:rPr>
        <w:t>)</w:t>
      </w:r>
      <w:r w:rsidR="00E96226" w:rsidRPr="00694E70">
        <w:rPr>
          <w:sz w:val="24"/>
          <w:szCs w:val="24"/>
        </w:rPr>
        <w:t xml:space="preserve"> is providing notice </w:t>
      </w:r>
      <w:r w:rsidR="00E36089" w:rsidRPr="00694E70">
        <w:rPr>
          <w:sz w:val="24"/>
          <w:szCs w:val="24"/>
        </w:rPr>
        <w:t xml:space="preserve">that it is </w:t>
      </w:r>
      <w:r w:rsidR="00602622" w:rsidRPr="00694E70">
        <w:rPr>
          <w:sz w:val="24"/>
          <w:szCs w:val="24"/>
        </w:rPr>
        <w:t xml:space="preserve">initiating a collaborative </w:t>
      </w:r>
      <w:r w:rsidR="003F08CC">
        <w:rPr>
          <w:sz w:val="24"/>
          <w:szCs w:val="24"/>
        </w:rPr>
        <w:t xml:space="preserve">(Reliability Collaborative) </w:t>
      </w:r>
      <w:r w:rsidR="00602622" w:rsidRPr="00694E70">
        <w:rPr>
          <w:sz w:val="24"/>
          <w:szCs w:val="24"/>
        </w:rPr>
        <w:t>for the purpose of reviewing</w:t>
      </w:r>
      <w:r w:rsidR="00977999" w:rsidRPr="00694E70">
        <w:rPr>
          <w:sz w:val="24"/>
          <w:szCs w:val="24"/>
        </w:rPr>
        <w:t xml:space="preserve"> </w:t>
      </w:r>
      <w:r w:rsidR="000A1E0B">
        <w:rPr>
          <w:sz w:val="24"/>
          <w:szCs w:val="24"/>
        </w:rPr>
        <w:t xml:space="preserve">the </w:t>
      </w:r>
      <w:r w:rsidR="00977999" w:rsidRPr="00694E70">
        <w:rPr>
          <w:sz w:val="24"/>
          <w:szCs w:val="24"/>
        </w:rPr>
        <w:t xml:space="preserve">reliability of </w:t>
      </w:r>
      <w:r w:rsidR="00AD235D">
        <w:rPr>
          <w:sz w:val="24"/>
          <w:szCs w:val="24"/>
        </w:rPr>
        <w:t xml:space="preserve">all </w:t>
      </w:r>
      <w:r w:rsidR="00977999" w:rsidRPr="00694E70">
        <w:rPr>
          <w:sz w:val="24"/>
          <w:szCs w:val="24"/>
        </w:rPr>
        <w:t>jurisdictional electric distribution compani</w:t>
      </w:r>
      <w:r w:rsidR="00667FD9" w:rsidRPr="00694E70">
        <w:rPr>
          <w:sz w:val="24"/>
          <w:szCs w:val="24"/>
        </w:rPr>
        <w:t>es (</w:t>
      </w:r>
      <w:r w:rsidR="00A03162" w:rsidRPr="00694E70">
        <w:rPr>
          <w:sz w:val="24"/>
          <w:szCs w:val="24"/>
        </w:rPr>
        <w:t>EDC</w:t>
      </w:r>
      <w:r w:rsidR="00A03162">
        <w:rPr>
          <w:sz w:val="24"/>
          <w:szCs w:val="24"/>
        </w:rPr>
        <w:t>s</w:t>
      </w:r>
      <w:r w:rsidR="00667FD9" w:rsidRPr="00694E70">
        <w:rPr>
          <w:sz w:val="24"/>
          <w:szCs w:val="24"/>
        </w:rPr>
        <w:t>)</w:t>
      </w:r>
      <w:r w:rsidR="00AD235D">
        <w:rPr>
          <w:sz w:val="24"/>
          <w:szCs w:val="24"/>
        </w:rPr>
        <w:t>.</w:t>
      </w:r>
      <w:r w:rsidR="0055173D">
        <w:rPr>
          <w:sz w:val="24"/>
          <w:szCs w:val="24"/>
        </w:rPr>
        <w:t xml:space="preserve"> The </w:t>
      </w:r>
      <w:r w:rsidR="003F08CC">
        <w:rPr>
          <w:sz w:val="24"/>
          <w:szCs w:val="24"/>
        </w:rPr>
        <w:t>Reliability Collaborative</w:t>
      </w:r>
      <w:r w:rsidR="0055173D">
        <w:rPr>
          <w:sz w:val="24"/>
          <w:szCs w:val="24"/>
        </w:rPr>
        <w:t xml:space="preserve"> </w:t>
      </w:r>
      <w:r w:rsidR="006938BB">
        <w:rPr>
          <w:sz w:val="24"/>
          <w:szCs w:val="24"/>
        </w:rPr>
        <w:t>will</w:t>
      </w:r>
      <w:r w:rsidR="00667FD9" w:rsidRPr="00694E70">
        <w:rPr>
          <w:sz w:val="24"/>
          <w:szCs w:val="24"/>
        </w:rPr>
        <w:t xml:space="preserve"> </w:t>
      </w:r>
      <w:r w:rsidR="00E756CF">
        <w:rPr>
          <w:sz w:val="24"/>
          <w:szCs w:val="24"/>
        </w:rPr>
        <w:t>focus</w:t>
      </w:r>
      <w:r w:rsidR="00667FD9" w:rsidRPr="00694E70">
        <w:rPr>
          <w:sz w:val="24"/>
          <w:szCs w:val="24"/>
        </w:rPr>
        <w:t xml:space="preserve"> </w:t>
      </w:r>
      <w:r w:rsidR="00B3439A" w:rsidRPr="00694E70">
        <w:rPr>
          <w:sz w:val="24"/>
          <w:szCs w:val="24"/>
        </w:rPr>
        <w:t xml:space="preserve">on </w:t>
      </w:r>
      <w:r w:rsidR="00ED23FA" w:rsidRPr="00694E70">
        <w:rPr>
          <w:sz w:val="24"/>
          <w:szCs w:val="24"/>
        </w:rPr>
        <w:t xml:space="preserve">reviewing the </w:t>
      </w:r>
      <w:r w:rsidR="00B3439A" w:rsidRPr="00694E70">
        <w:rPr>
          <w:sz w:val="24"/>
          <w:szCs w:val="24"/>
        </w:rPr>
        <w:t xml:space="preserve">electric </w:t>
      </w:r>
      <w:r w:rsidR="0073791C">
        <w:rPr>
          <w:sz w:val="24"/>
          <w:szCs w:val="24"/>
        </w:rPr>
        <w:t xml:space="preserve">distribution </w:t>
      </w:r>
      <w:r w:rsidR="00B3439A" w:rsidRPr="00694E70">
        <w:rPr>
          <w:sz w:val="24"/>
          <w:szCs w:val="24"/>
        </w:rPr>
        <w:t>reliability regulations</w:t>
      </w:r>
      <w:r w:rsidR="0053323B">
        <w:rPr>
          <w:sz w:val="24"/>
          <w:szCs w:val="24"/>
        </w:rPr>
        <w:t>.</w:t>
      </w:r>
      <w:r w:rsidR="0053323B">
        <w:rPr>
          <w:rStyle w:val="FootnoteReference"/>
          <w:sz w:val="24"/>
          <w:szCs w:val="24"/>
        </w:rPr>
        <w:footnoteReference w:id="1"/>
      </w:r>
      <w:r w:rsidR="0053323B">
        <w:rPr>
          <w:sz w:val="24"/>
          <w:szCs w:val="24"/>
        </w:rPr>
        <w:t xml:space="preserve">  </w:t>
      </w:r>
      <w:r w:rsidR="00A74F23">
        <w:rPr>
          <w:sz w:val="24"/>
          <w:szCs w:val="24"/>
        </w:rPr>
        <w:t>Particular</w:t>
      </w:r>
      <w:r w:rsidR="004B37DE" w:rsidRPr="00694E70">
        <w:rPr>
          <w:sz w:val="24"/>
          <w:szCs w:val="24"/>
        </w:rPr>
        <w:t xml:space="preserve"> attention</w:t>
      </w:r>
      <w:r w:rsidR="00A74F23">
        <w:rPr>
          <w:sz w:val="24"/>
          <w:szCs w:val="24"/>
        </w:rPr>
        <w:t xml:space="preserve"> will be paid</w:t>
      </w:r>
      <w:r w:rsidR="004B37DE" w:rsidRPr="00694E70">
        <w:rPr>
          <w:sz w:val="24"/>
          <w:szCs w:val="24"/>
        </w:rPr>
        <w:t xml:space="preserve"> to the </w:t>
      </w:r>
      <w:r w:rsidR="00843622" w:rsidRPr="00694E70">
        <w:rPr>
          <w:sz w:val="24"/>
          <w:szCs w:val="24"/>
        </w:rPr>
        <w:t>calculation of the reliability performance metric</w:t>
      </w:r>
      <w:r w:rsidR="001F3E05" w:rsidRPr="00694E70">
        <w:rPr>
          <w:sz w:val="24"/>
          <w:szCs w:val="24"/>
        </w:rPr>
        <w:t>s;</w:t>
      </w:r>
      <w:r w:rsidR="00554C1F" w:rsidRPr="00694E70">
        <w:rPr>
          <w:sz w:val="24"/>
          <w:szCs w:val="24"/>
        </w:rPr>
        <w:t xml:space="preserve"> </w:t>
      </w:r>
      <w:r w:rsidR="003754AA" w:rsidRPr="00694E70">
        <w:rPr>
          <w:sz w:val="24"/>
          <w:szCs w:val="24"/>
        </w:rPr>
        <w:t xml:space="preserve">exploring whether </w:t>
      </w:r>
      <w:bookmarkStart w:id="0" w:name="_Hlk71294830"/>
      <w:r w:rsidR="003754AA" w:rsidRPr="00694E70">
        <w:rPr>
          <w:sz w:val="24"/>
          <w:szCs w:val="24"/>
        </w:rPr>
        <w:t xml:space="preserve">options such as performance-based rates tied to reliability metrics may </w:t>
      </w:r>
      <w:r w:rsidR="002B4BD4" w:rsidRPr="00694E70">
        <w:rPr>
          <w:sz w:val="24"/>
          <w:szCs w:val="24"/>
        </w:rPr>
        <w:t>lead to improved reliability performance</w:t>
      </w:r>
      <w:r w:rsidR="00615ECB" w:rsidRPr="00694E70">
        <w:rPr>
          <w:sz w:val="24"/>
          <w:szCs w:val="24"/>
        </w:rPr>
        <w:t xml:space="preserve"> at a reasonable cost</w:t>
      </w:r>
      <w:bookmarkEnd w:id="0"/>
      <w:r w:rsidR="001F3E05" w:rsidRPr="00694E70">
        <w:rPr>
          <w:sz w:val="24"/>
          <w:szCs w:val="24"/>
        </w:rPr>
        <w:t>;</w:t>
      </w:r>
      <w:r w:rsidR="00AA6C26" w:rsidRPr="00694E70">
        <w:rPr>
          <w:sz w:val="24"/>
          <w:szCs w:val="24"/>
        </w:rPr>
        <w:t xml:space="preserve"> </w:t>
      </w:r>
      <w:r w:rsidR="00EE59C4" w:rsidRPr="00694E70">
        <w:rPr>
          <w:sz w:val="24"/>
          <w:szCs w:val="24"/>
        </w:rPr>
        <w:t>developing an understanding o</w:t>
      </w:r>
      <w:r w:rsidR="00DD20B1" w:rsidRPr="00694E70">
        <w:rPr>
          <w:sz w:val="24"/>
          <w:szCs w:val="24"/>
        </w:rPr>
        <w:t>f</w:t>
      </w:r>
      <w:r w:rsidR="00EE59C4" w:rsidRPr="00694E70">
        <w:rPr>
          <w:sz w:val="24"/>
          <w:szCs w:val="24"/>
        </w:rPr>
        <w:t xml:space="preserve"> </w:t>
      </w:r>
      <w:r w:rsidR="00A757C9" w:rsidRPr="00694E70">
        <w:rPr>
          <w:sz w:val="24"/>
          <w:szCs w:val="24"/>
        </w:rPr>
        <w:t xml:space="preserve">the customer experience </w:t>
      </w:r>
      <w:r w:rsidR="00EF5C0F" w:rsidRPr="00694E70">
        <w:rPr>
          <w:sz w:val="24"/>
          <w:szCs w:val="24"/>
        </w:rPr>
        <w:t xml:space="preserve">with electric reliability </w:t>
      </w:r>
      <w:r w:rsidR="00DD20B1" w:rsidRPr="00694E70">
        <w:rPr>
          <w:sz w:val="24"/>
          <w:szCs w:val="24"/>
        </w:rPr>
        <w:t>in Pennsylvania</w:t>
      </w:r>
      <w:r w:rsidR="0022149C" w:rsidRPr="00694E70">
        <w:rPr>
          <w:sz w:val="24"/>
          <w:szCs w:val="24"/>
        </w:rPr>
        <w:t>; and</w:t>
      </w:r>
      <w:r w:rsidR="00A64A4F" w:rsidRPr="00694E70">
        <w:rPr>
          <w:sz w:val="24"/>
          <w:szCs w:val="24"/>
        </w:rPr>
        <w:t xml:space="preserve"> ex</w:t>
      </w:r>
      <w:r w:rsidR="00AA6C26" w:rsidRPr="00694E70">
        <w:rPr>
          <w:sz w:val="24"/>
          <w:szCs w:val="24"/>
        </w:rPr>
        <w:t>ploring how the Commission, EDCs</w:t>
      </w:r>
      <w:r w:rsidR="0022149C" w:rsidRPr="00694E70">
        <w:rPr>
          <w:sz w:val="24"/>
          <w:szCs w:val="24"/>
        </w:rPr>
        <w:t>,</w:t>
      </w:r>
      <w:r w:rsidR="00AA6C26" w:rsidRPr="00694E70">
        <w:rPr>
          <w:sz w:val="24"/>
          <w:szCs w:val="24"/>
        </w:rPr>
        <w:t xml:space="preserve"> and other stakeholders can work together </w:t>
      </w:r>
      <w:r w:rsidR="000A1E0B">
        <w:rPr>
          <w:sz w:val="24"/>
          <w:szCs w:val="24"/>
        </w:rPr>
        <w:t xml:space="preserve">to lessen </w:t>
      </w:r>
      <w:r w:rsidR="00C725F5" w:rsidRPr="00694E70">
        <w:rPr>
          <w:sz w:val="24"/>
          <w:szCs w:val="24"/>
        </w:rPr>
        <w:t xml:space="preserve">the impact of </w:t>
      </w:r>
      <w:r w:rsidR="00B3439A" w:rsidRPr="00694E70">
        <w:rPr>
          <w:sz w:val="24"/>
          <w:szCs w:val="24"/>
        </w:rPr>
        <w:t>off-right-of-way</w:t>
      </w:r>
      <w:r w:rsidR="00D610F8" w:rsidRPr="00694E70">
        <w:rPr>
          <w:sz w:val="24"/>
          <w:szCs w:val="24"/>
        </w:rPr>
        <w:t xml:space="preserve"> (OROW)</w:t>
      </w:r>
      <w:r w:rsidR="00B3439A" w:rsidRPr="00694E70">
        <w:rPr>
          <w:sz w:val="24"/>
          <w:szCs w:val="24"/>
        </w:rPr>
        <w:t xml:space="preserve"> tree</w:t>
      </w:r>
      <w:r w:rsidR="00977999" w:rsidRPr="00694E70">
        <w:rPr>
          <w:sz w:val="24"/>
          <w:szCs w:val="24"/>
        </w:rPr>
        <w:t>s</w:t>
      </w:r>
      <w:r w:rsidR="00C725F5" w:rsidRPr="00694E70">
        <w:rPr>
          <w:sz w:val="24"/>
          <w:szCs w:val="24"/>
        </w:rPr>
        <w:t xml:space="preserve"> on electric re</w:t>
      </w:r>
      <w:r w:rsidR="00EA7392" w:rsidRPr="00694E70">
        <w:rPr>
          <w:sz w:val="24"/>
          <w:szCs w:val="24"/>
        </w:rPr>
        <w:t>liability</w:t>
      </w:r>
      <w:r w:rsidR="00E96226" w:rsidRPr="00694E70">
        <w:rPr>
          <w:sz w:val="24"/>
          <w:szCs w:val="24"/>
        </w:rPr>
        <w:t xml:space="preserve">. </w:t>
      </w:r>
      <w:r w:rsidR="00FC7798">
        <w:rPr>
          <w:sz w:val="24"/>
          <w:szCs w:val="24"/>
        </w:rPr>
        <w:t xml:space="preserve"> </w:t>
      </w:r>
    </w:p>
    <w:p w14:paraId="4D973E6F" w14:textId="77777777" w:rsidR="0016731F" w:rsidRDefault="0016731F" w:rsidP="00981A5A">
      <w:pPr>
        <w:autoSpaceDE w:val="0"/>
        <w:autoSpaceDN w:val="0"/>
        <w:adjustRightInd w:val="0"/>
        <w:ind w:firstLine="720"/>
        <w:rPr>
          <w:sz w:val="24"/>
          <w:szCs w:val="24"/>
        </w:rPr>
      </w:pPr>
    </w:p>
    <w:p w14:paraId="24FDD374" w14:textId="016B6115" w:rsidR="00E96226" w:rsidRDefault="00FC7798" w:rsidP="00981A5A">
      <w:pPr>
        <w:autoSpaceDE w:val="0"/>
        <w:autoSpaceDN w:val="0"/>
        <w:adjustRightInd w:val="0"/>
        <w:ind w:firstLine="720"/>
        <w:rPr>
          <w:sz w:val="24"/>
          <w:szCs w:val="24"/>
        </w:rPr>
      </w:pPr>
      <w:r w:rsidRPr="00AD235D">
        <w:rPr>
          <w:b/>
          <w:bCs/>
          <w:sz w:val="24"/>
          <w:szCs w:val="24"/>
        </w:rPr>
        <w:t>T</w:t>
      </w:r>
      <w:r w:rsidR="00292ED2" w:rsidRPr="00AD235D">
        <w:rPr>
          <w:b/>
          <w:bCs/>
          <w:sz w:val="24"/>
          <w:szCs w:val="24"/>
        </w:rPr>
        <w:t xml:space="preserve">he initial meeting of the </w:t>
      </w:r>
      <w:r w:rsidR="003F08CC" w:rsidRPr="00AD235D">
        <w:rPr>
          <w:b/>
          <w:bCs/>
          <w:sz w:val="24"/>
          <w:szCs w:val="24"/>
        </w:rPr>
        <w:t>Reliability Collaborative</w:t>
      </w:r>
      <w:r w:rsidR="00292ED2" w:rsidRPr="00AD235D">
        <w:rPr>
          <w:b/>
          <w:bCs/>
          <w:sz w:val="24"/>
          <w:szCs w:val="24"/>
        </w:rPr>
        <w:t xml:space="preserve"> will take place virtually, via Microsoft Teams, on July </w:t>
      </w:r>
      <w:r w:rsidR="00057178" w:rsidRPr="00AD235D">
        <w:rPr>
          <w:b/>
          <w:bCs/>
          <w:sz w:val="24"/>
          <w:szCs w:val="24"/>
        </w:rPr>
        <w:t xml:space="preserve">21, 2021 from 9:00 a.m. until </w:t>
      </w:r>
      <w:r w:rsidR="00C71782" w:rsidRPr="00AD235D">
        <w:rPr>
          <w:b/>
          <w:bCs/>
          <w:sz w:val="24"/>
          <w:szCs w:val="24"/>
        </w:rPr>
        <w:t>12:00 p.m.</w:t>
      </w:r>
      <w:r w:rsidR="00C71782">
        <w:rPr>
          <w:sz w:val="24"/>
          <w:szCs w:val="24"/>
        </w:rPr>
        <w:t xml:space="preserve">  Subsequent meeting </w:t>
      </w:r>
      <w:r w:rsidR="00736760">
        <w:rPr>
          <w:sz w:val="24"/>
          <w:szCs w:val="24"/>
        </w:rPr>
        <w:t xml:space="preserve">dates and times </w:t>
      </w:r>
      <w:r w:rsidR="00C71782">
        <w:rPr>
          <w:sz w:val="24"/>
          <w:szCs w:val="24"/>
        </w:rPr>
        <w:t xml:space="preserve">will be determined </w:t>
      </w:r>
      <w:r w:rsidR="00736760">
        <w:rPr>
          <w:sz w:val="24"/>
          <w:szCs w:val="24"/>
        </w:rPr>
        <w:t xml:space="preserve">at the initial meeting.  </w:t>
      </w:r>
      <w:r w:rsidR="000E06BD">
        <w:rPr>
          <w:sz w:val="24"/>
          <w:szCs w:val="24"/>
        </w:rPr>
        <w:t>T</w:t>
      </w:r>
      <w:r w:rsidR="00736760">
        <w:rPr>
          <w:sz w:val="24"/>
          <w:szCs w:val="24"/>
        </w:rPr>
        <w:t xml:space="preserve">he Commission </w:t>
      </w:r>
      <w:r w:rsidR="005427BF">
        <w:rPr>
          <w:sz w:val="24"/>
          <w:szCs w:val="24"/>
        </w:rPr>
        <w:t>anticipates completing</w:t>
      </w:r>
      <w:r w:rsidR="00736760">
        <w:rPr>
          <w:sz w:val="24"/>
          <w:szCs w:val="24"/>
        </w:rPr>
        <w:t xml:space="preserve"> the </w:t>
      </w:r>
      <w:r w:rsidR="007B44A0">
        <w:rPr>
          <w:sz w:val="24"/>
          <w:szCs w:val="24"/>
        </w:rPr>
        <w:t>collaborative process within 9 months</w:t>
      </w:r>
      <w:r w:rsidR="005427BF">
        <w:rPr>
          <w:sz w:val="24"/>
          <w:szCs w:val="24"/>
        </w:rPr>
        <w:t>, at the conclusion of which</w:t>
      </w:r>
      <w:r w:rsidR="000A1E0B">
        <w:rPr>
          <w:sz w:val="24"/>
          <w:szCs w:val="24"/>
        </w:rPr>
        <w:t>,</w:t>
      </w:r>
      <w:r w:rsidR="005427BF">
        <w:rPr>
          <w:sz w:val="24"/>
          <w:szCs w:val="24"/>
        </w:rPr>
        <w:t xml:space="preserve"> </w:t>
      </w:r>
      <w:r w:rsidR="007B44A0">
        <w:rPr>
          <w:sz w:val="24"/>
          <w:szCs w:val="24"/>
        </w:rPr>
        <w:t xml:space="preserve">Commission staff will prepare an internal report for </w:t>
      </w:r>
      <w:r w:rsidR="000447A0">
        <w:rPr>
          <w:sz w:val="24"/>
          <w:szCs w:val="24"/>
        </w:rPr>
        <w:t>consideration</w:t>
      </w:r>
      <w:r w:rsidR="00AD235D">
        <w:rPr>
          <w:sz w:val="24"/>
          <w:szCs w:val="24"/>
        </w:rPr>
        <w:t xml:space="preserve"> by the Commission.</w:t>
      </w:r>
    </w:p>
    <w:p w14:paraId="2B631DD7" w14:textId="147C8C30" w:rsidR="002D75A1" w:rsidRDefault="002D75A1" w:rsidP="00981A5A">
      <w:pPr>
        <w:autoSpaceDE w:val="0"/>
        <w:autoSpaceDN w:val="0"/>
        <w:adjustRightInd w:val="0"/>
        <w:ind w:firstLine="720"/>
        <w:rPr>
          <w:sz w:val="24"/>
          <w:szCs w:val="24"/>
        </w:rPr>
      </w:pPr>
    </w:p>
    <w:p w14:paraId="091AC111" w14:textId="638ECA1E" w:rsidR="002D75A1" w:rsidRDefault="003F08CC" w:rsidP="00981A5A">
      <w:pPr>
        <w:autoSpaceDE w:val="0"/>
        <w:autoSpaceDN w:val="0"/>
        <w:adjustRightInd w:val="0"/>
        <w:ind w:firstLine="720"/>
        <w:rPr>
          <w:sz w:val="24"/>
          <w:szCs w:val="24"/>
        </w:rPr>
      </w:pPr>
      <w:r>
        <w:rPr>
          <w:sz w:val="24"/>
          <w:szCs w:val="24"/>
        </w:rPr>
        <w:t>Prospective Reliability Collaborative</w:t>
      </w:r>
      <w:r w:rsidR="002D75A1">
        <w:rPr>
          <w:sz w:val="24"/>
          <w:szCs w:val="24"/>
        </w:rPr>
        <w:t xml:space="preserve"> participants must </w:t>
      </w:r>
      <w:r w:rsidR="002D75A1" w:rsidRPr="002D75A1">
        <w:rPr>
          <w:sz w:val="24"/>
          <w:szCs w:val="24"/>
        </w:rPr>
        <w:t>confirm attendance by</w:t>
      </w:r>
      <w:r w:rsidR="002D75A1">
        <w:rPr>
          <w:sz w:val="24"/>
          <w:szCs w:val="24"/>
        </w:rPr>
        <w:t xml:space="preserve"> sending an email </w:t>
      </w:r>
      <w:r w:rsidR="007D3353">
        <w:rPr>
          <w:sz w:val="24"/>
          <w:szCs w:val="24"/>
        </w:rPr>
        <w:t>with</w:t>
      </w:r>
      <w:r w:rsidR="0091625E">
        <w:rPr>
          <w:sz w:val="24"/>
          <w:szCs w:val="24"/>
        </w:rPr>
        <w:t xml:space="preserve"> their </w:t>
      </w:r>
      <w:r w:rsidR="007D3353">
        <w:rPr>
          <w:sz w:val="24"/>
          <w:szCs w:val="24"/>
        </w:rPr>
        <w:t>name</w:t>
      </w:r>
      <w:r w:rsidR="0091625E">
        <w:rPr>
          <w:sz w:val="24"/>
          <w:szCs w:val="24"/>
        </w:rPr>
        <w:t xml:space="preserve">, </w:t>
      </w:r>
      <w:r w:rsidR="00107B05">
        <w:rPr>
          <w:sz w:val="24"/>
          <w:szCs w:val="24"/>
        </w:rPr>
        <w:t>organization</w:t>
      </w:r>
      <w:r w:rsidR="0091625E">
        <w:rPr>
          <w:sz w:val="24"/>
          <w:szCs w:val="24"/>
        </w:rPr>
        <w:t xml:space="preserve"> name, </w:t>
      </w:r>
      <w:r w:rsidR="00107B05">
        <w:rPr>
          <w:sz w:val="24"/>
          <w:szCs w:val="24"/>
        </w:rPr>
        <w:t>title</w:t>
      </w:r>
      <w:r w:rsidR="00FB14FF">
        <w:rPr>
          <w:sz w:val="24"/>
          <w:szCs w:val="24"/>
        </w:rPr>
        <w:t xml:space="preserve">, </w:t>
      </w:r>
      <w:r w:rsidR="00107B05">
        <w:rPr>
          <w:sz w:val="24"/>
          <w:szCs w:val="24"/>
        </w:rPr>
        <w:t>phone number</w:t>
      </w:r>
      <w:r w:rsidR="00FB14FF">
        <w:rPr>
          <w:sz w:val="24"/>
          <w:szCs w:val="24"/>
        </w:rPr>
        <w:t xml:space="preserve">, and </w:t>
      </w:r>
      <w:r w:rsidR="00107B05">
        <w:rPr>
          <w:sz w:val="24"/>
          <w:szCs w:val="24"/>
        </w:rPr>
        <w:t xml:space="preserve">email address </w:t>
      </w:r>
      <w:r w:rsidR="002D75A1">
        <w:rPr>
          <w:sz w:val="24"/>
          <w:szCs w:val="24"/>
        </w:rPr>
        <w:t>to</w:t>
      </w:r>
      <w:r w:rsidR="00137FC2">
        <w:rPr>
          <w:sz w:val="24"/>
          <w:szCs w:val="24"/>
        </w:rPr>
        <w:t xml:space="preserve"> </w:t>
      </w:r>
      <w:hyperlink r:id="rId9" w:history="1">
        <w:r w:rsidR="00137FC2" w:rsidRPr="008A2E95">
          <w:rPr>
            <w:rStyle w:val="Hyperlink"/>
            <w:sz w:val="24"/>
            <w:szCs w:val="24"/>
          </w:rPr>
          <w:t>RA-PCELECREL@pa.gov</w:t>
        </w:r>
      </w:hyperlink>
      <w:r w:rsidR="00F30BD9">
        <w:rPr>
          <w:sz w:val="24"/>
          <w:szCs w:val="24"/>
        </w:rPr>
        <w:t xml:space="preserve"> </w:t>
      </w:r>
      <w:r w:rsidR="00F30BD9" w:rsidRPr="00AD235D">
        <w:rPr>
          <w:b/>
          <w:bCs/>
          <w:sz w:val="24"/>
          <w:szCs w:val="24"/>
        </w:rPr>
        <w:t>by June 21, 2021</w:t>
      </w:r>
      <w:r w:rsidR="002D75A1" w:rsidRPr="002D75A1">
        <w:rPr>
          <w:sz w:val="24"/>
          <w:szCs w:val="24"/>
        </w:rPr>
        <w:t xml:space="preserve">.  Please direct any questions to John Van </w:t>
      </w:r>
      <w:proofErr w:type="spellStart"/>
      <w:r w:rsidR="002D75A1" w:rsidRPr="002D75A1">
        <w:rPr>
          <w:sz w:val="24"/>
          <w:szCs w:val="24"/>
        </w:rPr>
        <w:t>Zant</w:t>
      </w:r>
      <w:proofErr w:type="spellEnd"/>
      <w:r w:rsidR="00DB1393">
        <w:rPr>
          <w:sz w:val="24"/>
          <w:szCs w:val="24"/>
        </w:rPr>
        <w:t xml:space="preserve"> at</w:t>
      </w:r>
      <w:r w:rsidR="002D75A1" w:rsidRPr="002D75A1">
        <w:rPr>
          <w:sz w:val="24"/>
          <w:szCs w:val="24"/>
        </w:rPr>
        <w:t xml:space="preserve"> </w:t>
      </w:r>
      <w:hyperlink r:id="rId10" w:history="1">
        <w:r w:rsidR="00DB1393" w:rsidRPr="008A2E95">
          <w:rPr>
            <w:rStyle w:val="Hyperlink"/>
            <w:sz w:val="24"/>
            <w:szCs w:val="24"/>
          </w:rPr>
          <w:t>jvanzant@pa.gov</w:t>
        </w:r>
      </w:hyperlink>
      <w:r w:rsidR="00DB1393">
        <w:rPr>
          <w:sz w:val="24"/>
          <w:szCs w:val="24"/>
        </w:rPr>
        <w:t xml:space="preserve">, </w:t>
      </w:r>
      <w:r w:rsidR="002D75A1" w:rsidRPr="002D75A1">
        <w:rPr>
          <w:sz w:val="24"/>
          <w:szCs w:val="24"/>
        </w:rPr>
        <w:t>or 717-773-7380</w:t>
      </w:r>
      <w:r w:rsidR="00FE7660">
        <w:rPr>
          <w:sz w:val="24"/>
          <w:szCs w:val="24"/>
        </w:rPr>
        <w:t xml:space="preserve">.  </w:t>
      </w:r>
    </w:p>
    <w:p w14:paraId="72570058" w14:textId="0EB52F93" w:rsidR="00842C02" w:rsidRDefault="00842C02" w:rsidP="00981A5A">
      <w:pPr>
        <w:autoSpaceDE w:val="0"/>
        <w:autoSpaceDN w:val="0"/>
        <w:adjustRightInd w:val="0"/>
        <w:ind w:firstLine="720"/>
        <w:rPr>
          <w:sz w:val="24"/>
          <w:szCs w:val="24"/>
        </w:rPr>
      </w:pPr>
    </w:p>
    <w:p w14:paraId="57EEDAC4" w14:textId="7D0758AB" w:rsidR="00842C02" w:rsidRDefault="00842C02" w:rsidP="00981A5A">
      <w:pPr>
        <w:autoSpaceDE w:val="0"/>
        <w:autoSpaceDN w:val="0"/>
        <w:adjustRightInd w:val="0"/>
        <w:ind w:firstLine="720"/>
        <w:rPr>
          <w:sz w:val="24"/>
          <w:szCs w:val="24"/>
        </w:rPr>
      </w:pPr>
      <w:r>
        <w:rPr>
          <w:sz w:val="24"/>
          <w:szCs w:val="24"/>
        </w:rPr>
        <w:t xml:space="preserve">Attached </w:t>
      </w:r>
      <w:r w:rsidR="008D00DC">
        <w:rPr>
          <w:sz w:val="24"/>
          <w:szCs w:val="24"/>
        </w:rPr>
        <w:t xml:space="preserve">are (1) </w:t>
      </w:r>
      <w:r>
        <w:rPr>
          <w:sz w:val="24"/>
          <w:szCs w:val="24"/>
        </w:rPr>
        <w:t>a</w:t>
      </w:r>
      <w:r w:rsidR="00D803C0">
        <w:rPr>
          <w:sz w:val="24"/>
          <w:szCs w:val="24"/>
        </w:rPr>
        <w:t xml:space="preserve"> document providing</w:t>
      </w:r>
      <w:r w:rsidR="00F50FA1">
        <w:rPr>
          <w:sz w:val="24"/>
          <w:szCs w:val="24"/>
        </w:rPr>
        <w:t xml:space="preserve"> </w:t>
      </w:r>
      <w:r w:rsidR="00D803C0">
        <w:rPr>
          <w:sz w:val="24"/>
          <w:szCs w:val="24"/>
        </w:rPr>
        <w:t xml:space="preserve">background on </w:t>
      </w:r>
      <w:r w:rsidR="007C2837">
        <w:rPr>
          <w:sz w:val="24"/>
          <w:szCs w:val="24"/>
        </w:rPr>
        <w:t>the reasons for the</w:t>
      </w:r>
      <w:r w:rsidR="00C86CB2">
        <w:rPr>
          <w:sz w:val="24"/>
          <w:szCs w:val="24"/>
        </w:rPr>
        <w:t xml:space="preserve"> Commission</w:t>
      </w:r>
      <w:r w:rsidR="000A1E0B">
        <w:rPr>
          <w:sz w:val="24"/>
          <w:szCs w:val="24"/>
        </w:rPr>
        <w:t>’s</w:t>
      </w:r>
      <w:r w:rsidR="00C86CB2">
        <w:rPr>
          <w:sz w:val="24"/>
          <w:szCs w:val="24"/>
        </w:rPr>
        <w:t xml:space="preserve"> </w:t>
      </w:r>
      <w:r w:rsidR="000A1E0B">
        <w:rPr>
          <w:sz w:val="24"/>
          <w:szCs w:val="24"/>
        </w:rPr>
        <w:t xml:space="preserve">initiation of </w:t>
      </w:r>
      <w:r w:rsidR="00C86CB2">
        <w:rPr>
          <w:sz w:val="24"/>
          <w:szCs w:val="24"/>
        </w:rPr>
        <w:t xml:space="preserve">the </w:t>
      </w:r>
      <w:r w:rsidR="007C2837">
        <w:rPr>
          <w:sz w:val="24"/>
          <w:szCs w:val="24"/>
        </w:rPr>
        <w:t>Reliability Collaborative</w:t>
      </w:r>
      <w:r w:rsidR="008D00DC">
        <w:rPr>
          <w:sz w:val="24"/>
          <w:szCs w:val="24"/>
        </w:rPr>
        <w:t>, and</w:t>
      </w:r>
      <w:r w:rsidR="00F50FA1">
        <w:rPr>
          <w:sz w:val="24"/>
          <w:szCs w:val="24"/>
        </w:rPr>
        <w:t xml:space="preserve"> (2) </w:t>
      </w:r>
      <w:r w:rsidR="00314869">
        <w:rPr>
          <w:sz w:val="24"/>
          <w:szCs w:val="24"/>
        </w:rPr>
        <w:t>a draft</w:t>
      </w:r>
      <w:r>
        <w:rPr>
          <w:sz w:val="24"/>
          <w:szCs w:val="24"/>
        </w:rPr>
        <w:t xml:space="preserve"> agenda for the</w:t>
      </w:r>
      <w:r w:rsidR="00D13BC0">
        <w:rPr>
          <w:sz w:val="24"/>
          <w:szCs w:val="24"/>
        </w:rPr>
        <w:t xml:space="preserve"> </w:t>
      </w:r>
      <w:r w:rsidR="00F50FA1">
        <w:rPr>
          <w:sz w:val="24"/>
          <w:szCs w:val="24"/>
        </w:rPr>
        <w:t>initial</w:t>
      </w:r>
      <w:r>
        <w:rPr>
          <w:sz w:val="24"/>
          <w:szCs w:val="24"/>
        </w:rPr>
        <w:t xml:space="preserve"> meeting</w:t>
      </w:r>
      <w:r w:rsidR="00F210D1">
        <w:rPr>
          <w:sz w:val="24"/>
          <w:szCs w:val="24"/>
        </w:rPr>
        <w:t>, including</w:t>
      </w:r>
      <w:r>
        <w:rPr>
          <w:sz w:val="24"/>
          <w:szCs w:val="24"/>
        </w:rPr>
        <w:t xml:space="preserve"> questions </w:t>
      </w:r>
      <w:r w:rsidR="00F50FA1">
        <w:rPr>
          <w:sz w:val="24"/>
          <w:szCs w:val="24"/>
        </w:rPr>
        <w:t xml:space="preserve">for </w:t>
      </w:r>
      <w:r>
        <w:rPr>
          <w:sz w:val="24"/>
          <w:szCs w:val="24"/>
        </w:rPr>
        <w:t xml:space="preserve">participants </w:t>
      </w:r>
      <w:r w:rsidR="00F50FA1">
        <w:rPr>
          <w:sz w:val="24"/>
          <w:szCs w:val="24"/>
        </w:rPr>
        <w:t>to review and</w:t>
      </w:r>
      <w:r>
        <w:rPr>
          <w:sz w:val="24"/>
          <w:szCs w:val="24"/>
        </w:rPr>
        <w:t xml:space="preserve"> </w:t>
      </w:r>
      <w:r w:rsidR="000A1E0B">
        <w:rPr>
          <w:sz w:val="24"/>
          <w:szCs w:val="24"/>
        </w:rPr>
        <w:t>prepare responses for</w:t>
      </w:r>
      <w:r w:rsidR="00F50FA1">
        <w:rPr>
          <w:sz w:val="24"/>
          <w:szCs w:val="24"/>
        </w:rPr>
        <w:t xml:space="preserve"> </w:t>
      </w:r>
      <w:r w:rsidR="00667D8F">
        <w:rPr>
          <w:sz w:val="24"/>
          <w:szCs w:val="24"/>
        </w:rPr>
        <w:t>the</w:t>
      </w:r>
      <w:r w:rsidR="00F50FA1">
        <w:rPr>
          <w:sz w:val="24"/>
          <w:szCs w:val="24"/>
        </w:rPr>
        <w:t xml:space="preserve"> initial</w:t>
      </w:r>
      <w:r w:rsidR="00667D8F">
        <w:rPr>
          <w:sz w:val="24"/>
          <w:szCs w:val="24"/>
        </w:rPr>
        <w:t xml:space="preserve"> meeting.  </w:t>
      </w:r>
    </w:p>
    <w:p w14:paraId="4498A26F" w14:textId="07C7A669" w:rsidR="0025501A" w:rsidRDefault="0025501A" w:rsidP="00981A5A">
      <w:pPr>
        <w:autoSpaceDE w:val="0"/>
        <w:autoSpaceDN w:val="0"/>
        <w:adjustRightInd w:val="0"/>
        <w:ind w:firstLine="720"/>
        <w:rPr>
          <w:sz w:val="24"/>
          <w:szCs w:val="24"/>
        </w:rPr>
      </w:pPr>
    </w:p>
    <w:p w14:paraId="1147CF9B" w14:textId="4A3C884E" w:rsidR="00BD5910" w:rsidRDefault="00BD5910" w:rsidP="00981A5A">
      <w:pPr>
        <w:autoSpaceDE w:val="0"/>
        <w:autoSpaceDN w:val="0"/>
        <w:adjustRightInd w:val="0"/>
        <w:ind w:firstLine="720"/>
        <w:rPr>
          <w:sz w:val="24"/>
          <w:szCs w:val="24"/>
        </w:rPr>
      </w:pPr>
    </w:p>
    <w:p w14:paraId="13C7031D" w14:textId="657DB6FF" w:rsidR="00CD7948" w:rsidRPr="00694E70" w:rsidRDefault="001A3C0F" w:rsidP="00DC2A61">
      <w:pPr>
        <w:rPr>
          <w:sz w:val="24"/>
          <w:szCs w:val="24"/>
        </w:rPr>
      </w:pPr>
      <w:r>
        <w:rPr>
          <w:noProof/>
        </w:rPr>
        <w:drawing>
          <wp:anchor distT="0" distB="0" distL="114300" distR="114300" simplePos="0" relativeHeight="251659264" behindDoc="1" locked="0" layoutInCell="1" allowOverlap="1" wp14:anchorId="4E85F530" wp14:editId="2F6546EB">
            <wp:simplePos x="0" y="0"/>
            <wp:positionH relativeFrom="column">
              <wp:posOffset>3152775</wp:posOffset>
            </wp:positionH>
            <wp:positionV relativeFrom="paragraph">
              <wp:posOffset>56515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C653E" w:rsidRPr="00694E70">
        <w:rPr>
          <w:sz w:val="24"/>
          <w:szCs w:val="24"/>
        </w:rPr>
        <w:tab/>
      </w:r>
      <w:r w:rsidR="002C653E" w:rsidRPr="00694E70">
        <w:rPr>
          <w:sz w:val="24"/>
          <w:szCs w:val="24"/>
        </w:rPr>
        <w:tab/>
      </w:r>
      <w:r w:rsidR="002C653E" w:rsidRPr="00694E70">
        <w:rPr>
          <w:sz w:val="24"/>
          <w:szCs w:val="24"/>
        </w:rPr>
        <w:tab/>
      </w:r>
      <w:r w:rsidR="002C653E" w:rsidRPr="00694E70">
        <w:rPr>
          <w:sz w:val="24"/>
          <w:szCs w:val="24"/>
        </w:rPr>
        <w:tab/>
      </w:r>
      <w:r w:rsidR="002C653E" w:rsidRPr="00694E70">
        <w:rPr>
          <w:sz w:val="24"/>
          <w:szCs w:val="24"/>
        </w:rPr>
        <w:tab/>
      </w:r>
      <w:r w:rsidR="002C653E" w:rsidRPr="00694E70">
        <w:rPr>
          <w:sz w:val="24"/>
          <w:szCs w:val="24"/>
        </w:rPr>
        <w:tab/>
      </w:r>
      <w:r w:rsidR="002C653E" w:rsidRPr="00694E70">
        <w:rPr>
          <w:sz w:val="24"/>
          <w:szCs w:val="24"/>
        </w:rPr>
        <w:tab/>
        <w:t>Sincerely,</w:t>
      </w:r>
    </w:p>
    <w:p w14:paraId="54CF2A94" w14:textId="77777777" w:rsidR="002C653E" w:rsidRPr="00694E70" w:rsidRDefault="002C653E" w:rsidP="00DC2A61">
      <w:pPr>
        <w:rPr>
          <w:sz w:val="24"/>
          <w:szCs w:val="24"/>
        </w:rPr>
      </w:pPr>
    </w:p>
    <w:p w14:paraId="2AA14EB4" w14:textId="1214617E" w:rsidR="002C653E" w:rsidRPr="00694E70" w:rsidRDefault="002C653E" w:rsidP="00DC2A61">
      <w:pPr>
        <w:rPr>
          <w:sz w:val="24"/>
          <w:szCs w:val="24"/>
        </w:rPr>
      </w:pPr>
    </w:p>
    <w:p w14:paraId="09550831" w14:textId="77777777" w:rsidR="002C653E" w:rsidRPr="00694E70" w:rsidRDefault="002C653E" w:rsidP="00DC2A61">
      <w:pPr>
        <w:rPr>
          <w:sz w:val="24"/>
          <w:szCs w:val="24"/>
        </w:rPr>
      </w:pP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p>
    <w:p w14:paraId="1E27E724" w14:textId="77777777" w:rsidR="002C653E" w:rsidRPr="00694E70" w:rsidRDefault="002C653E" w:rsidP="00DC2A61">
      <w:pPr>
        <w:rPr>
          <w:sz w:val="24"/>
          <w:szCs w:val="24"/>
        </w:rPr>
      </w:pP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t>Rosemary Chiavetta</w:t>
      </w:r>
    </w:p>
    <w:p w14:paraId="7BDB116A" w14:textId="77777777" w:rsidR="002C653E" w:rsidRPr="00694E70" w:rsidRDefault="002C653E" w:rsidP="00DC2A61">
      <w:pPr>
        <w:rPr>
          <w:sz w:val="24"/>
          <w:szCs w:val="24"/>
        </w:rPr>
      </w:pP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r>
      <w:r w:rsidRPr="00694E70">
        <w:rPr>
          <w:sz w:val="24"/>
          <w:szCs w:val="24"/>
        </w:rPr>
        <w:tab/>
        <w:t>Secretary</w:t>
      </w:r>
    </w:p>
    <w:p w14:paraId="643EB336" w14:textId="3A21950E" w:rsidR="003032E0" w:rsidRDefault="005029A9" w:rsidP="005029A9">
      <w:pPr>
        <w:rPr>
          <w:sz w:val="22"/>
          <w:szCs w:val="24"/>
        </w:rPr>
      </w:pPr>
      <w:r>
        <w:rPr>
          <w:sz w:val="22"/>
          <w:szCs w:val="24"/>
        </w:rPr>
        <w:tab/>
      </w:r>
      <w:r>
        <w:rPr>
          <w:sz w:val="22"/>
          <w:szCs w:val="24"/>
        </w:rPr>
        <w:tab/>
      </w:r>
    </w:p>
    <w:p w14:paraId="546E12C1" w14:textId="2F7B1CA1" w:rsidR="003032E0" w:rsidRDefault="003032E0" w:rsidP="005029A9">
      <w:pPr>
        <w:rPr>
          <w:sz w:val="22"/>
          <w:szCs w:val="24"/>
        </w:rPr>
      </w:pPr>
    </w:p>
    <w:p w14:paraId="210625F4" w14:textId="03EAD6D7" w:rsidR="00AD235D" w:rsidRDefault="00AD235D" w:rsidP="005029A9">
      <w:pPr>
        <w:rPr>
          <w:sz w:val="22"/>
          <w:szCs w:val="24"/>
        </w:rPr>
      </w:pPr>
    </w:p>
    <w:p w14:paraId="6340975F" w14:textId="3FFC0A3A" w:rsidR="00AD235D" w:rsidRDefault="00AD235D" w:rsidP="005029A9">
      <w:pPr>
        <w:rPr>
          <w:sz w:val="22"/>
          <w:szCs w:val="24"/>
        </w:rPr>
      </w:pPr>
    </w:p>
    <w:p w14:paraId="4321306E" w14:textId="6B4BD23C" w:rsidR="00AD235D" w:rsidRDefault="00AD235D" w:rsidP="005029A9">
      <w:pPr>
        <w:rPr>
          <w:sz w:val="22"/>
          <w:szCs w:val="24"/>
        </w:rPr>
      </w:pPr>
    </w:p>
    <w:p w14:paraId="56CD45AD" w14:textId="77777777" w:rsidR="00AD235D" w:rsidRDefault="00AD235D" w:rsidP="005029A9">
      <w:pPr>
        <w:rPr>
          <w:sz w:val="22"/>
          <w:szCs w:val="24"/>
        </w:rPr>
      </w:pPr>
    </w:p>
    <w:p w14:paraId="1CB41691" w14:textId="1124D197" w:rsidR="00C86CB2" w:rsidRDefault="00C86CB2" w:rsidP="005029A9">
      <w:pPr>
        <w:rPr>
          <w:sz w:val="22"/>
          <w:szCs w:val="24"/>
        </w:rPr>
      </w:pPr>
      <w:r>
        <w:rPr>
          <w:sz w:val="22"/>
          <w:szCs w:val="24"/>
        </w:rPr>
        <w:t>Attachment 1: Background Information</w:t>
      </w:r>
      <w:r w:rsidR="006B36E0">
        <w:rPr>
          <w:sz w:val="22"/>
          <w:szCs w:val="24"/>
        </w:rPr>
        <w:t xml:space="preserve"> for Collaboration Formation</w:t>
      </w:r>
    </w:p>
    <w:p w14:paraId="7ABC1275" w14:textId="77777777" w:rsidR="000A78F3" w:rsidRDefault="006B36E0" w:rsidP="005029A9">
      <w:pPr>
        <w:rPr>
          <w:sz w:val="22"/>
          <w:szCs w:val="24"/>
        </w:rPr>
        <w:sectPr w:rsidR="000A78F3" w:rsidSect="00DC2A61">
          <w:footerReference w:type="even" r:id="rId12"/>
          <w:footerReference w:type="default" r:id="rId13"/>
          <w:footerReference w:type="first" r:id="rId14"/>
          <w:pgSz w:w="12240" w:h="15840"/>
          <w:pgMar w:top="1440" w:right="1440" w:bottom="1440" w:left="1440" w:header="720" w:footer="720" w:gutter="0"/>
          <w:cols w:space="720"/>
          <w:titlePg/>
          <w:docGrid w:linePitch="272"/>
        </w:sectPr>
      </w:pPr>
      <w:r>
        <w:rPr>
          <w:sz w:val="22"/>
          <w:szCs w:val="24"/>
        </w:rPr>
        <w:t>Attachment 2: Draft Electric Reliability Collaborative Meeting Agenda</w:t>
      </w:r>
    </w:p>
    <w:p w14:paraId="7702DC1E" w14:textId="0D65ADD5" w:rsidR="006B36E0" w:rsidRDefault="00DF5953" w:rsidP="00DF5953">
      <w:pPr>
        <w:jc w:val="center"/>
        <w:rPr>
          <w:b/>
          <w:bCs/>
          <w:sz w:val="24"/>
          <w:szCs w:val="24"/>
        </w:rPr>
      </w:pPr>
      <w:r w:rsidRPr="00DC2A61">
        <w:rPr>
          <w:b/>
          <w:sz w:val="24"/>
          <w:szCs w:val="24"/>
        </w:rPr>
        <w:lastRenderedPageBreak/>
        <w:t>Attachment</w:t>
      </w:r>
      <w:r>
        <w:rPr>
          <w:b/>
          <w:sz w:val="24"/>
          <w:szCs w:val="24"/>
        </w:rPr>
        <w:t xml:space="preserve"> 1</w:t>
      </w:r>
      <w:r w:rsidRPr="00DC2A61">
        <w:rPr>
          <w:b/>
          <w:sz w:val="24"/>
          <w:szCs w:val="24"/>
        </w:rPr>
        <w:t xml:space="preserve">: </w:t>
      </w:r>
      <w:r w:rsidRPr="00DF5953">
        <w:rPr>
          <w:b/>
          <w:sz w:val="24"/>
          <w:szCs w:val="24"/>
        </w:rPr>
        <w:t xml:space="preserve">Background Information for </w:t>
      </w:r>
      <w:r>
        <w:rPr>
          <w:b/>
          <w:sz w:val="24"/>
          <w:szCs w:val="24"/>
        </w:rPr>
        <w:t xml:space="preserve">the Electric Reliability </w:t>
      </w:r>
      <w:r w:rsidRPr="00DF5953">
        <w:rPr>
          <w:b/>
          <w:sz w:val="24"/>
          <w:szCs w:val="24"/>
        </w:rPr>
        <w:t>Colla</w:t>
      </w:r>
      <w:r w:rsidR="00385105">
        <w:rPr>
          <w:b/>
          <w:sz w:val="24"/>
          <w:szCs w:val="24"/>
        </w:rPr>
        <w:t xml:space="preserve">borative </w:t>
      </w:r>
      <w:r w:rsidRPr="00DF5953">
        <w:rPr>
          <w:b/>
          <w:sz w:val="24"/>
          <w:szCs w:val="24"/>
        </w:rPr>
        <w:t>Formation</w:t>
      </w:r>
    </w:p>
    <w:p w14:paraId="41708939" w14:textId="77777777" w:rsidR="00385105" w:rsidRDefault="00385105" w:rsidP="00DF5953">
      <w:pPr>
        <w:autoSpaceDE w:val="0"/>
        <w:autoSpaceDN w:val="0"/>
        <w:adjustRightInd w:val="0"/>
        <w:jc w:val="center"/>
        <w:rPr>
          <w:b/>
          <w:bCs/>
          <w:sz w:val="24"/>
          <w:szCs w:val="24"/>
        </w:rPr>
      </w:pPr>
    </w:p>
    <w:p w14:paraId="6E27118A" w14:textId="10CA717D" w:rsidR="006B36E0" w:rsidRPr="0025501A" w:rsidRDefault="006B36E0" w:rsidP="00385105">
      <w:pPr>
        <w:autoSpaceDE w:val="0"/>
        <w:autoSpaceDN w:val="0"/>
        <w:adjustRightInd w:val="0"/>
        <w:rPr>
          <w:b/>
          <w:bCs/>
          <w:sz w:val="24"/>
          <w:szCs w:val="24"/>
        </w:rPr>
      </w:pPr>
      <w:r>
        <w:rPr>
          <w:b/>
          <w:bCs/>
          <w:sz w:val="24"/>
          <w:szCs w:val="24"/>
        </w:rPr>
        <w:t>Background</w:t>
      </w:r>
    </w:p>
    <w:p w14:paraId="6BD8C647" w14:textId="77777777" w:rsidR="006B36E0" w:rsidRPr="00694E70" w:rsidRDefault="006B36E0" w:rsidP="006B36E0">
      <w:pPr>
        <w:autoSpaceDE w:val="0"/>
        <w:autoSpaceDN w:val="0"/>
        <w:adjustRightInd w:val="0"/>
        <w:ind w:left="720" w:firstLine="720"/>
        <w:rPr>
          <w:sz w:val="24"/>
          <w:szCs w:val="24"/>
        </w:rPr>
      </w:pPr>
    </w:p>
    <w:p w14:paraId="763B8867" w14:textId="77777777" w:rsidR="006B36E0" w:rsidRPr="00694E70" w:rsidRDefault="006B36E0" w:rsidP="006B36E0">
      <w:pPr>
        <w:autoSpaceDE w:val="0"/>
        <w:autoSpaceDN w:val="0"/>
        <w:adjustRightInd w:val="0"/>
        <w:ind w:firstLine="720"/>
        <w:rPr>
          <w:sz w:val="24"/>
          <w:szCs w:val="24"/>
        </w:rPr>
      </w:pPr>
      <w:r w:rsidRPr="00694E70">
        <w:rPr>
          <w:sz w:val="24"/>
          <w:szCs w:val="24"/>
        </w:rPr>
        <w:t xml:space="preserve">The Commission is initiating the collaborative due to the recognition that EDCs in general have experienced difficulty in achieving their required reliability metrics.  Our most recent electric reliability report, </w:t>
      </w:r>
      <w:r w:rsidRPr="00694E70">
        <w:rPr>
          <w:i/>
          <w:iCs/>
          <w:sz w:val="24"/>
          <w:szCs w:val="24"/>
        </w:rPr>
        <w:t>Electric Service Reliability In Pennsylvania</w:t>
      </w:r>
      <w:r w:rsidRPr="00694E70">
        <w:rPr>
          <w:sz w:val="24"/>
          <w:szCs w:val="24"/>
        </w:rPr>
        <w:t xml:space="preserve"> </w:t>
      </w:r>
      <w:r w:rsidRPr="00694E70">
        <w:rPr>
          <w:i/>
          <w:iCs/>
          <w:sz w:val="24"/>
          <w:szCs w:val="24"/>
        </w:rPr>
        <w:t>2019</w:t>
      </w:r>
      <w:r w:rsidRPr="00694E70">
        <w:rPr>
          <w:sz w:val="24"/>
          <w:szCs w:val="24"/>
        </w:rPr>
        <w:t xml:space="preserve"> (Reliability Report), prepared by our Bureau of Technical Utility Services (TUS), details the declining performance of the EDCs and notes the significant impact of OROW trees on reliability.</w:t>
      </w:r>
      <w:r w:rsidRPr="00694E70">
        <w:rPr>
          <w:rStyle w:val="FootnoteReference"/>
          <w:sz w:val="24"/>
          <w:szCs w:val="24"/>
        </w:rPr>
        <w:footnoteReference w:id="2"/>
      </w:r>
      <w:r w:rsidRPr="00694E70">
        <w:rPr>
          <w:sz w:val="24"/>
          <w:szCs w:val="24"/>
        </w:rPr>
        <w:t xml:space="preserve">  The Reliability Report also detailed how EDCs are experiencing significantly more reportable outages due to weather impacts as compared to the benchmark reliability period.</w:t>
      </w:r>
      <w:r w:rsidRPr="00694E70">
        <w:rPr>
          <w:rStyle w:val="FootnoteReference"/>
          <w:sz w:val="24"/>
          <w:szCs w:val="24"/>
        </w:rPr>
        <w:footnoteReference w:id="3"/>
      </w:r>
      <w:r w:rsidRPr="00694E70">
        <w:rPr>
          <w:sz w:val="24"/>
          <w:szCs w:val="24"/>
        </w:rPr>
        <w:t xml:space="preserve">  TUS is charged with monitoring and reporting on EDC reliability and initiating informal reliability reviews and corrective action plans, where appropriate. </w:t>
      </w:r>
    </w:p>
    <w:p w14:paraId="64ECC5EF" w14:textId="77777777" w:rsidR="006B36E0" w:rsidRPr="00694E70" w:rsidRDefault="006B36E0" w:rsidP="006B36E0">
      <w:pPr>
        <w:autoSpaceDE w:val="0"/>
        <w:autoSpaceDN w:val="0"/>
        <w:adjustRightInd w:val="0"/>
        <w:ind w:firstLine="720"/>
        <w:rPr>
          <w:sz w:val="24"/>
          <w:szCs w:val="24"/>
        </w:rPr>
      </w:pPr>
    </w:p>
    <w:p w14:paraId="6A725F07" w14:textId="77777777" w:rsidR="006B36E0" w:rsidRPr="00694E70" w:rsidRDefault="006B36E0" w:rsidP="006B36E0">
      <w:pPr>
        <w:autoSpaceDE w:val="0"/>
        <w:autoSpaceDN w:val="0"/>
        <w:adjustRightInd w:val="0"/>
        <w:ind w:firstLine="720"/>
        <w:rPr>
          <w:sz w:val="24"/>
          <w:szCs w:val="24"/>
        </w:rPr>
      </w:pPr>
      <w:r w:rsidRPr="00694E70">
        <w:rPr>
          <w:sz w:val="24"/>
          <w:szCs w:val="24"/>
        </w:rPr>
        <w:t xml:space="preserve">After the release of the Reliability Report, on September 16, 2020, TUS issued an informal data request to the EDCs and the Energy Association of Pennsylvania (EAP) that generally focused on what EDCs </w:t>
      </w:r>
      <w:r>
        <w:rPr>
          <w:sz w:val="24"/>
          <w:szCs w:val="24"/>
        </w:rPr>
        <w:t xml:space="preserve">believed </w:t>
      </w:r>
      <w:r w:rsidRPr="00694E70">
        <w:rPr>
          <w:sz w:val="24"/>
          <w:szCs w:val="24"/>
        </w:rPr>
        <w:t>the challenges were to consistently meet the reliability benchmarks.  TUS then held an informal discussion on October 16, 2020 with the EDCs and EAP on the responses to the data request.  The key takeaways from the discussion were:</w:t>
      </w:r>
    </w:p>
    <w:p w14:paraId="40B47D63" w14:textId="77777777" w:rsidR="006B36E0" w:rsidRPr="00694E70" w:rsidRDefault="006B36E0" w:rsidP="006B36E0">
      <w:pPr>
        <w:autoSpaceDE w:val="0"/>
        <w:autoSpaceDN w:val="0"/>
        <w:adjustRightInd w:val="0"/>
        <w:ind w:firstLine="720"/>
        <w:rPr>
          <w:sz w:val="24"/>
          <w:szCs w:val="24"/>
        </w:rPr>
      </w:pPr>
    </w:p>
    <w:p w14:paraId="673B23BE" w14:textId="56C3A692" w:rsidR="006B36E0" w:rsidRPr="00694E70" w:rsidRDefault="006B36E0" w:rsidP="006B36E0">
      <w:pPr>
        <w:pStyle w:val="ListParagraph"/>
        <w:numPr>
          <w:ilvl w:val="0"/>
          <w:numId w:val="25"/>
        </w:numPr>
        <w:autoSpaceDE w:val="0"/>
        <w:autoSpaceDN w:val="0"/>
        <w:adjustRightInd w:val="0"/>
        <w:rPr>
          <w:sz w:val="24"/>
          <w:szCs w:val="24"/>
        </w:rPr>
      </w:pPr>
      <w:r w:rsidRPr="00694E70">
        <w:rPr>
          <w:sz w:val="24"/>
          <w:szCs w:val="24"/>
        </w:rPr>
        <w:t>Nine of the EDCs have approved Long-Term Infrastructure Improvement Plans (LTIIPs), which are designed to improve reliability and resiliency (storm hardening).  Two of the EDCs are implementing their second LTIIP and have consistently achieved benchmark performance for the number of outages since 2015, even with the increasing impact of severe storms.</w:t>
      </w:r>
      <w:r w:rsidRPr="00694E70">
        <w:rPr>
          <w:rStyle w:val="FootnoteReference"/>
          <w:sz w:val="24"/>
          <w:szCs w:val="24"/>
        </w:rPr>
        <w:footnoteReference w:id="4"/>
      </w:r>
      <w:r w:rsidRPr="00694E70">
        <w:rPr>
          <w:sz w:val="24"/>
          <w:szCs w:val="24"/>
        </w:rPr>
        <w:t xml:space="preserve">  The EDCs and EAP noted that they view the LTIIP and Distribution System Improvement Charge (DSIC)</w:t>
      </w:r>
      <w:r w:rsidRPr="00694E70">
        <w:rPr>
          <w:rStyle w:val="FootnoteReference"/>
          <w:sz w:val="24"/>
          <w:szCs w:val="24"/>
        </w:rPr>
        <w:footnoteReference w:id="5"/>
      </w:r>
      <w:r w:rsidRPr="00694E70">
        <w:rPr>
          <w:sz w:val="24"/>
          <w:szCs w:val="24"/>
        </w:rPr>
        <w:t xml:space="preserve"> as key tools to help improve reliability, along with regular capital investment and recovery through base rate cases.  The EDCs with LTIIPs noted that they have seen progress in improving reliability, but that the results of the investments would take time to be evident in consistent achievement of reliability metrics.  PPL has the most mature LTIIP program and regularly achieves benchmark performance.</w:t>
      </w:r>
      <w:r w:rsidR="008C5E73">
        <w:rPr>
          <w:sz w:val="24"/>
          <w:szCs w:val="24"/>
        </w:rPr>
        <w:t xml:space="preserve">  The EDCs and EAP were open to discussing how performance-based </w:t>
      </w:r>
      <w:r w:rsidR="00D067BD">
        <w:rPr>
          <w:sz w:val="24"/>
          <w:szCs w:val="24"/>
        </w:rPr>
        <w:t xml:space="preserve">rates may be a benefit to drive </w:t>
      </w:r>
      <w:r w:rsidR="00F07789">
        <w:rPr>
          <w:sz w:val="24"/>
          <w:szCs w:val="24"/>
        </w:rPr>
        <w:t>better reliability performance.</w:t>
      </w:r>
      <w:r w:rsidR="00F07789">
        <w:rPr>
          <w:rStyle w:val="FootnoteReference"/>
          <w:sz w:val="24"/>
          <w:szCs w:val="24"/>
        </w:rPr>
        <w:footnoteReference w:id="6"/>
      </w:r>
    </w:p>
    <w:p w14:paraId="62D715A0" w14:textId="77777777" w:rsidR="006B36E0" w:rsidRPr="00694E70" w:rsidRDefault="006B36E0" w:rsidP="006B36E0">
      <w:pPr>
        <w:pStyle w:val="ListParagraph"/>
        <w:numPr>
          <w:ilvl w:val="0"/>
          <w:numId w:val="25"/>
        </w:numPr>
        <w:autoSpaceDE w:val="0"/>
        <w:autoSpaceDN w:val="0"/>
        <w:adjustRightInd w:val="0"/>
        <w:rPr>
          <w:sz w:val="24"/>
          <w:szCs w:val="24"/>
        </w:rPr>
      </w:pPr>
      <w:r w:rsidRPr="00694E70">
        <w:rPr>
          <w:sz w:val="24"/>
          <w:szCs w:val="24"/>
        </w:rPr>
        <w:t xml:space="preserve">As noted in the PUC’s Reliability Report, weather and trees are the biggest impacts to the EDC’s reliability performance.  However, most tree problems are from OROW.  </w:t>
      </w:r>
      <w:r w:rsidRPr="00694E70">
        <w:rPr>
          <w:sz w:val="24"/>
          <w:szCs w:val="24"/>
        </w:rPr>
        <w:lastRenderedPageBreak/>
        <w:t xml:space="preserve">EDCs </w:t>
      </w:r>
      <w:r>
        <w:rPr>
          <w:sz w:val="24"/>
          <w:szCs w:val="24"/>
        </w:rPr>
        <w:t xml:space="preserve">noted that they all </w:t>
      </w:r>
      <w:r w:rsidRPr="00694E70">
        <w:rPr>
          <w:sz w:val="24"/>
          <w:szCs w:val="24"/>
        </w:rPr>
        <w:t xml:space="preserve">have programs to try and address OROW </w:t>
      </w:r>
      <w:r>
        <w:rPr>
          <w:sz w:val="24"/>
          <w:szCs w:val="24"/>
        </w:rPr>
        <w:t xml:space="preserve">danger </w:t>
      </w:r>
      <w:r w:rsidRPr="00694E70">
        <w:rPr>
          <w:sz w:val="24"/>
          <w:szCs w:val="24"/>
        </w:rPr>
        <w:t xml:space="preserve">trees with landowners, but </w:t>
      </w:r>
      <w:r>
        <w:rPr>
          <w:sz w:val="24"/>
          <w:szCs w:val="24"/>
        </w:rPr>
        <w:t xml:space="preserve">many fall-ins from OROW vegetation come from what appear to be healthy trees that have grown tall enough to be a fall-in threat.  </w:t>
      </w:r>
      <w:r w:rsidRPr="00694E70">
        <w:rPr>
          <w:sz w:val="24"/>
          <w:szCs w:val="24"/>
        </w:rPr>
        <w:t>EDCs noted they would welcome a discussion on any regulatory and/or legislative incentives to improve OROW tree issues.</w:t>
      </w:r>
    </w:p>
    <w:p w14:paraId="706580A6" w14:textId="77777777" w:rsidR="006B36E0" w:rsidRDefault="006B36E0" w:rsidP="006B36E0">
      <w:pPr>
        <w:pStyle w:val="ListParagraph"/>
        <w:numPr>
          <w:ilvl w:val="0"/>
          <w:numId w:val="25"/>
        </w:numPr>
        <w:autoSpaceDE w:val="0"/>
        <w:autoSpaceDN w:val="0"/>
        <w:adjustRightInd w:val="0"/>
        <w:rPr>
          <w:sz w:val="24"/>
          <w:szCs w:val="24"/>
        </w:rPr>
      </w:pPr>
      <w:r w:rsidRPr="00694E70">
        <w:rPr>
          <w:sz w:val="24"/>
          <w:szCs w:val="24"/>
        </w:rPr>
        <w:t>All of the large EDCs utilize current reliability measurements based on methodologies developed by the Institute of Electrical and Electronics Engineers (IEEE) when benchmarking against other similar EDCs nation-wide.</w:t>
      </w:r>
      <w:r w:rsidRPr="00694E70">
        <w:rPr>
          <w:rStyle w:val="FootnoteReference"/>
          <w:sz w:val="24"/>
          <w:szCs w:val="24"/>
        </w:rPr>
        <w:footnoteReference w:id="7"/>
      </w:r>
      <w:r w:rsidRPr="00694E70">
        <w:rPr>
          <w:sz w:val="24"/>
          <w:szCs w:val="24"/>
        </w:rPr>
        <w:t xml:space="preserve">  The primary differences between the IEEE and PUC methodologies relate to excludable </w:t>
      </w:r>
      <w:r>
        <w:rPr>
          <w:sz w:val="24"/>
          <w:szCs w:val="24"/>
        </w:rPr>
        <w:t>events and how benchmarks are calculated.</w:t>
      </w:r>
      <w:r>
        <w:rPr>
          <w:rStyle w:val="FootnoteReference"/>
          <w:sz w:val="24"/>
          <w:szCs w:val="24"/>
        </w:rPr>
        <w:footnoteReference w:id="8"/>
      </w:r>
      <w:r>
        <w:rPr>
          <w:sz w:val="24"/>
          <w:szCs w:val="24"/>
        </w:rPr>
        <w:t xml:space="preserve">  TUS noted that it finds that the Commission definition of an excludable event is subjective and may be outdated as compared to the IEEE methodology.</w:t>
      </w:r>
      <w:r>
        <w:rPr>
          <w:rStyle w:val="FootnoteReference"/>
          <w:sz w:val="24"/>
          <w:szCs w:val="24"/>
        </w:rPr>
        <w:footnoteReference w:id="9"/>
      </w:r>
      <w:r>
        <w:rPr>
          <w:sz w:val="24"/>
          <w:szCs w:val="24"/>
        </w:rPr>
        <w:t xml:space="preserve">  Several EDCs indicated that they believe the IEEE methodology for excludable events provides better data in terms of identifying worst performing circuits, among other features.  TUS and the EDCs noted that a change to incorporate the IEEE exclusion methodology would involve a larger discussion on the reliability benchmark measures, which necessarily involves a discussion of the statutory requirements for electric distribution reliability in Pennsylvania.</w:t>
      </w:r>
      <w:r>
        <w:rPr>
          <w:rStyle w:val="FootnoteReference"/>
          <w:sz w:val="24"/>
          <w:szCs w:val="24"/>
        </w:rPr>
        <w:footnoteReference w:id="10"/>
      </w:r>
      <w:r>
        <w:rPr>
          <w:sz w:val="24"/>
          <w:szCs w:val="24"/>
        </w:rPr>
        <w:t xml:space="preserve">  Several EDCs noted that other states have incorporated parts or all of the IEEE reliability methodologies and that they believed it provided a more dynamic measure of electric reliability.  </w:t>
      </w:r>
    </w:p>
    <w:p w14:paraId="0105653B" w14:textId="5DC96C75" w:rsidR="006B36E0" w:rsidRPr="00694E70" w:rsidRDefault="006B36E0" w:rsidP="006B36E0">
      <w:pPr>
        <w:pStyle w:val="ListParagraph"/>
        <w:numPr>
          <w:ilvl w:val="0"/>
          <w:numId w:val="25"/>
        </w:numPr>
        <w:autoSpaceDE w:val="0"/>
        <w:autoSpaceDN w:val="0"/>
        <w:adjustRightInd w:val="0"/>
        <w:rPr>
          <w:sz w:val="24"/>
          <w:szCs w:val="24"/>
        </w:rPr>
      </w:pPr>
      <w:r>
        <w:rPr>
          <w:sz w:val="24"/>
          <w:szCs w:val="24"/>
        </w:rPr>
        <w:t xml:space="preserve">Also noted </w:t>
      </w:r>
      <w:r w:rsidR="00170F7A">
        <w:rPr>
          <w:sz w:val="24"/>
          <w:szCs w:val="24"/>
        </w:rPr>
        <w:t xml:space="preserve">by EDCs </w:t>
      </w:r>
      <w:r w:rsidR="00432141">
        <w:rPr>
          <w:sz w:val="24"/>
          <w:szCs w:val="24"/>
        </w:rPr>
        <w:t xml:space="preserve">and EAP </w:t>
      </w:r>
      <w:r w:rsidRPr="009056AA">
        <w:rPr>
          <w:sz w:val="24"/>
          <w:szCs w:val="24"/>
        </w:rPr>
        <w:t>was that the customer and customer experience should be part of the discussion</w:t>
      </w:r>
      <w:r>
        <w:rPr>
          <w:sz w:val="24"/>
          <w:szCs w:val="24"/>
        </w:rPr>
        <w:t xml:space="preserve"> to try and determine </w:t>
      </w:r>
      <w:r w:rsidRPr="009056AA">
        <w:rPr>
          <w:sz w:val="24"/>
          <w:szCs w:val="24"/>
        </w:rPr>
        <w:t xml:space="preserve">what are customers’ expectations </w:t>
      </w:r>
      <w:r>
        <w:rPr>
          <w:sz w:val="24"/>
          <w:szCs w:val="24"/>
        </w:rPr>
        <w:t xml:space="preserve">for electric reliability and the cost of that performance expectation through rates.  </w:t>
      </w:r>
    </w:p>
    <w:p w14:paraId="1334ADE0" w14:textId="77777777" w:rsidR="006B36E0" w:rsidRDefault="006B36E0" w:rsidP="005029A9">
      <w:pPr>
        <w:rPr>
          <w:sz w:val="22"/>
          <w:szCs w:val="24"/>
        </w:rPr>
      </w:pPr>
    </w:p>
    <w:p w14:paraId="1BAA9F65" w14:textId="77777777" w:rsidR="00385105" w:rsidRDefault="00385105" w:rsidP="005029A9">
      <w:pPr>
        <w:rPr>
          <w:sz w:val="22"/>
          <w:szCs w:val="24"/>
        </w:rPr>
        <w:sectPr w:rsidR="00385105" w:rsidSect="000A78F3">
          <w:footerReference w:type="first" r:id="rId15"/>
          <w:pgSz w:w="12240" w:h="15840"/>
          <w:pgMar w:top="1440" w:right="1440" w:bottom="1440" w:left="1440" w:header="720" w:footer="720" w:gutter="0"/>
          <w:pgNumType w:start="1"/>
          <w:cols w:space="720"/>
          <w:titlePg/>
          <w:docGrid w:linePitch="272"/>
        </w:sectPr>
      </w:pPr>
    </w:p>
    <w:p w14:paraId="2B71315D" w14:textId="7D23C844" w:rsidR="003032E0" w:rsidRPr="00DC2A61" w:rsidRDefault="003032E0" w:rsidP="00DC2A61">
      <w:pPr>
        <w:jc w:val="center"/>
        <w:rPr>
          <w:b/>
          <w:sz w:val="24"/>
          <w:szCs w:val="24"/>
        </w:rPr>
      </w:pPr>
      <w:r w:rsidRPr="00DC2A61">
        <w:rPr>
          <w:b/>
          <w:sz w:val="24"/>
          <w:szCs w:val="24"/>
        </w:rPr>
        <w:lastRenderedPageBreak/>
        <w:t>Attachment</w:t>
      </w:r>
      <w:r w:rsidR="006B36E0">
        <w:rPr>
          <w:b/>
          <w:sz w:val="24"/>
          <w:szCs w:val="24"/>
        </w:rPr>
        <w:t xml:space="preserve"> 2</w:t>
      </w:r>
      <w:r w:rsidRPr="00DC2A61">
        <w:rPr>
          <w:b/>
          <w:sz w:val="24"/>
          <w:szCs w:val="24"/>
        </w:rPr>
        <w:t xml:space="preserve">: </w:t>
      </w:r>
      <w:r w:rsidR="006B36E0">
        <w:rPr>
          <w:b/>
          <w:sz w:val="24"/>
          <w:szCs w:val="24"/>
        </w:rPr>
        <w:t xml:space="preserve">Draft </w:t>
      </w:r>
      <w:r w:rsidR="00A12CDD">
        <w:rPr>
          <w:b/>
          <w:sz w:val="24"/>
          <w:szCs w:val="24"/>
        </w:rPr>
        <w:t xml:space="preserve">Electric Reliability </w:t>
      </w:r>
      <w:r w:rsidRPr="00DC2A61">
        <w:rPr>
          <w:b/>
          <w:sz w:val="24"/>
          <w:szCs w:val="24"/>
        </w:rPr>
        <w:t>Collaborative Meeting Agenda</w:t>
      </w:r>
    </w:p>
    <w:p w14:paraId="307F750F" w14:textId="77777777" w:rsidR="003032E0" w:rsidRPr="00DC2A61" w:rsidRDefault="003032E0" w:rsidP="00DC2A61">
      <w:pPr>
        <w:jc w:val="center"/>
        <w:rPr>
          <w:b/>
          <w:sz w:val="22"/>
          <w:szCs w:val="24"/>
        </w:rPr>
      </w:pPr>
    </w:p>
    <w:p w14:paraId="3CB564A6" w14:textId="77777777" w:rsidR="002A51D6" w:rsidRDefault="002A51D6" w:rsidP="001C7ABE">
      <w:pPr>
        <w:jc w:val="center"/>
        <w:rPr>
          <w:b/>
          <w:sz w:val="24"/>
          <w:szCs w:val="24"/>
        </w:rPr>
      </w:pPr>
      <w:r>
        <w:rPr>
          <w:b/>
          <w:sz w:val="24"/>
          <w:szCs w:val="24"/>
        </w:rPr>
        <w:t>Electric Reliability Collaborative Meeting</w:t>
      </w:r>
    </w:p>
    <w:p w14:paraId="306D59A0" w14:textId="1F2DD79D" w:rsidR="00404133" w:rsidRPr="00450096" w:rsidRDefault="00DC7766" w:rsidP="001C7ABE">
      <w:pPr>
        <w:jc w:val="center"/>
        <w:rPr>
          <w:b/>
          <w:sz w:val="24"/>
          <w:szCs w:val="24"/>
        </w:rPr>
      </w:pPr>
      <w:r>
        <w:rPr>
          <w:b/>
          <w:sz w:val="24"/>
          <w:szCs w:val="24"/>
        </w:rPr>
        <w:t>July 21, 2021</w:t>
      </w:r>
    </w:p>
    <w:p w14:paraId="6E140BD0" w14:textId="044753D5" w:rsidR="00404133" w:rsidRDefault="008A043E" w:rsidP="001C7ABE">
      <w:pPr>
        <w:jc w:val="center"/>
        <w:rPr>
          <w:b/>
          <w:sz w:val="24"/>
          <w:szCs w:val="24"/>
        </w:rPr>
      </w:pPr>
      <w:r>
        <w:rPr>
          <w:b/>
          <w:sz w:val="24"/>
          <w:szCs w:val="24"/>
        </w:rPr>
        <w:t>09:00 – 12:00</w:t>
      </w:r>
    </w:p>
    <w:p w14:paraId="3F67C04F" w14:textId="1EBAAD2A" w:rsidR="008A043E" w:rsidRPr="00FC2644" w:rsidRDefault="008A043E" w:rsidP="001C7ABE">
      <w:pPr>
        <w:jc w:val="center"/>
        <w:rPr>
          <w:b/>
          <w:sz w:val="24"/>
          <w:szCs w:val="24"/>
        </w:rPr>
      </w:pPr>
      <w:r>
        <w:rPr>
          <w:b/>
          <w:sz w:val="24"/>
          <w:szCs w:val="24"/>
        </w:rPr>
        <w:t>Teams Meeting (link will be emailed to confirmed attendees)</w:t>
      </w:r>
    </w:p>
    <w:p w14:paraId="12162FB7" w14:textId="77777777" w:rsidR="00404133" w:rsidRDefault="00404133" w:rsidP="00DC2A61">
      <w:pPr>
        <w:jc w:val="center"/>
        <w:rPr>
          <w:szCs w:val="24"/>
        </w:rPr>
      </w:pPr>
    </w:p>
    <w:p w14:paraId="78312A69" w14:textId="77777777" w:rsidR="00404133" w:rsidRDefault="00404133" w:rsidP="001C7ABE">
      <w:pPr>
        <w:jc w:val="center"/>
        <w:rPr>
          <w:sz w:val="32"/>
          <w:szCs w:val="32"/>
        </w:rPr>
      </w:pPr>
      <w:r>
        <w:rPr>
          <w:b/>
          <w:sz w:val="32"/>
          <w:szCs w:val="32"/>
          <w:u w:val="single"/>
        </w:rPr>
        <w:t>AGENDA</w:t>
      </w:r>
    </w:p>
    <w:p w14:paraId="1135016C" w14:textId="77777777" w:rsidR="00404133" w:rsidRDefault="00404133" w:rsidP="001C7ABE">
      <w:pPr>
        <w:rPr>
          <w:sz w:val="32"/>
          <w:szCs w:val="32"/>
        </w:rPr>
      </w:pPr>
    </w:p>
    <w:p w14:paraId="398448B4" w14:textId="3A480D85" w:rsidR="00404133" w:rsidRDefault="003032E0" w:rsidP="00DC2A61">
      <w:pPr>
        <w:pStyle w:val="ListParagraph"/>
        <w:numPr>
          <w:ilvl w:val="0"/>
          <w:numId w:val="21"/>
        </w:numPr>
        <w:spacing w:line="480" w:lineRule="auto"/>
        <w:rPr>
          <w:sz w:val="26"/>
          <w:szCs w:val="26"/>
        </w:rPr>
      </w:pPr>
      <w:r w:rsidRPr="00DC2A61">
        <w:rPr>
          <w:b/>
          <w:sz w:val="26"/>
          <w:szCs w:val="26"/>
        </w:rPr>
        <w:t>09:00 – 09:15</w:t>
      </w:r>
      <w:r>
        <w:rPr>
          <w:sz w:val="26"/>
          <w:szCs w:val="26"/>
        </w:rPr>
        <w:t xml:space="preserve"> – Welcome and Introductory Remarks – Dan </w:t>
      </w:r>
      <w:proofErr w:type="spellStart"/>
      <w:r>
        <w:rPr>
          <w:sz w:val="26"/>
          <w:szCs w:val="26"/>
        </w:rPr>
        <w:t>Searfoorce</w:t>
      </w:r>
      <w:proofErr w:type="spellEnd"/>
      <w:r>
        <w:rPr>
          <w:sz w:val="26"/>
          <w:szCs w:val="26"/>
        </w:rPr>
        <w:t>, Manager</w:t>
      </w:r>
      <w:r w:rsidR="0015671A">
        <w:rPr>
          <w:sz w:val="26"/>
          <w:szCs w:val="26"/>
        </w:rPr>
        <w:t xml:space="preserve"> – Water, </w:t>
      </w:r>
      <w:r>
        <w:rPr>
          <w:sz w:val="26"/>
          <w:szCs w:val="26"/>
        </w:rPr>
        <w:t>Reliability and Emergency Preparedness</w:t>
      </w:r>
      <w:r w:rsidR="008A043E">
        <w:rPr>
          <w:sz w:val="26"/>
          <w:szCs w:val="26"/>
        </w:rPr>
        <w:t xml:space="preserve"> Division</w:t>
      </w:r>
      <w:r>
        <w:rPr>
          <w:sz w:val="26"/>
          <w:szCs w:val="26"/>
        </w:rPr>
        <w:t xml:space="preserve">, </w:t>
      </w:r>
      <w:r w:rsidR="008A043E">
        <w:rPr>
          <w:sz w:val="26"/>
          <w:szCs w:val="26"/>
        </w:rPr>
        <w:t>Bureau of Technical Utility Services (</w:t>
      </w:r>
      <w:r>
        <w:rPr>
          <w:sz w:val="26"/>
          <w:szCs w:val="26"/>
        </w:rPr>
        <w:t>TUS</w:t>
      </w:r>
      <w:r w:rsidR="008A043E">
        <w:rPr>
          <w:sz w:val="26"/>
          <w:szCs w:val="26"/>
        </w:rPr>
        <w:t>)</w:t>
      </w:r>
      <w:r w:rsidR="00D927DA">
        <w:rPr>
          <w:sz w:val="26"/>
          <w:szCs w:val="26"/>
        </w:rPr>
        <w:t xml:space="preserve"> </w:t>
      </w:r>
    </w:p>
    <w:p w14:paraId="22E5EB46" w14:textId="6DAF96E1" w:rsidR="00121875" w:rsidRDefault="003032E0" w:rsidP="00DC2A61">
      <w:pPr>
        <w:pStyle w:val="ListParagraph"/>
        <w:numPr>
          <w:ilvl w:val="0"/>
          <w:numId w:val="21"/>
        </w:numPr>
        <w:spacing w:line="480" w:lineRule="auto"/>
        <w:rPr>
          <w:sz w:val="26"/>
          <w:szCs w:val="26"/>
        </w:rPr>
      </w:pPr>
      <w:r>
        <w:rPr>
          <w:b/>
          <w:sz w:val="26"/>
          <w:szCs w:val="26"/>
        </w:rPr>
        <w:t>0</w:t>
      </w:r>
      <w:r w:rsidRPr="00DC2A61">
        <w:rPr>
          <w:b/>
          <w:sz w:val="26"/>
          <w:szCs w:val="26"/>
        </w:rPr>
        <w:t xml:space="preserve">9:15 – </w:t>
      </w:r>
      <w:r>
        <w:rPr>
          <w:b/>
          <w:sz w:val="26"/>
          <w:szCs w:val="26"/>
        </w:rPr>
        <w:t>0</w:t>
      </w:r>
      <w:r w:rsidRPr="00DC2A61">
        <w:rPr>
          <w:b/>
          <w:sz w:val="26"/>
          <w:szCs w:val="26"/>
        </w:rPr>
        <w:t>9:30</w:t>
      </w:r>
      <w:r>
        <w:rPr>
          <w:sz w:val="26"/>
          <w:szCs w:val="26"/>
        </w:rPr>
        <w:t xml:space="preserve"> – Discussion of </w:t>
      </w:r>
      <w:r w:rsidR="00121875">
        <w:rPr>
          <w:sz w:val="26"/>
          <w:szCs w:val="26"/>
        </w:rPr>
        <w:t>General p</w:t>
      </w:r>
      <w:r w:rsidR="00686A4C">
        <w:rPr>
          <w:sz w:val="26"/>
          <w:szCs w:val="26"/>
        </w:rPr>
        <w:t xml:space="preserve">urpose of </w:t>
      </w:r>
      <w:r>
        <w:rPr>
          <w:sz w:val="26"/>
          <w:szCs w:val="26"/>
        </w:rPr>
        <w:t xml:space="preserve">the </w:t>
      </w:r>
      <w:r w:rsidR="00E264DC">
        <w:rPr>
          <w:sz w:val="26"/>
          <w:szCs w:val="26"/>
        </w:rPr>
        <w:t>C</w:t>
      </w:r>
      <w:r w:rsidR="00686A4C">
        <w:rPr>
          <w:sz w:val="26"/>
          <w:szCs w:val="26"/>
        </w:rPr>
        <w:t xml:space="preserve">ollaborative and </w:t>
      </w:r>
      <w:r w:rsidR="00E264DC">
        <w:rPr>
          <w:sz w:val="26"/>
          <w:szCs w:val="26"/>
        </w:rPr>
        <w:t>P</w:t>
      </w:r>
      <w:r>
        <w:rPr>
          <w:sz w:val="26"/>
          <w:szCs w:val="26"/>
        </w:rPr>
        <w:t>otential</w:t>
      </w:r>
      <w:r w:rsidR="00E264DC">
        <w:rPr>
          <w:sz w:val="26"/>
          <w:szCs w:val="26"/>
        </w:rPr>
        <w:t xml:space="preserve"> D</w:t>
      </w:r>
      <w:r>
        <w:rPr>
          <w:sz w:val="26"/>
          <w:szCs w:val="26"/>
        </w:rPr>
        <w:t xml:space="preserve">eliverables – </w:t>
      </w:r>
      <w:r w:rsidR="008A043E">
        <w:rPr>
          <w:sz w:val="26"/>
          <w:szCs w:val="26"/>
        </w:rPr>
        <w:t xml:space="preserve">John Van </w:t>
      </w:r>
      <w:proofErr w:type="spellStart"/>
      <w:r w:rsidR="008A043E">
        <w:rPr>
          <w:sz w:val="26"/>
          <w:szCs w:val="26"/>
        </w:rPr>
        <w:t>Zant</w:t>
      </w:r>
      <w:proofErr w:type="spellEnd"/>
      <w:r w:rsidR="008A043E">
        <w:rPr>
          <w:sz w:val="26"/>
          <w:szCs w:val="26"/>
        </w:rPr>
        <w:t xml:space="preserve">, </w:t>
      </w:r>
      <w:r w:rsidR="0015671A">
        <w:rPr>
          <w:sz w:val="26"/>
          <w:szCs w:val="26"/>
        </w:rPr>
        <w:t xml:space="preserve">Supervisor – Reliability and Emergency Preparedness Section, </w:t>
      </w:r>
      <w:r>
        <w:rPr>
          <w:sz w:val="26"/>
          <w:szCs w:val="26"/>
        </w:rPr>
        <w:t>TUS</w:t>
      </w:r>
    </w:p>
    <w:p w14:paraId="697F93A6" w14:textId="094B5CF7" w:rsidR="004D3308" w:rsidRDefault="003032E0" w:rsidP="00DC2A61">
      <w:pPr>
        <w:pStyle w:val="ListParagraph"/>
        <w:numPr>
          <w:ilvl w:val="0"/>
          <w:numId w:val="21"/>
        </w:numPr>
        <w:spacing w:line="480" w:lineRule="auto"/>
        <w:rPr>
          <w:sz w:val="26"/>
          <w:szCs w:val="26"/>
        </w:rPr>
      </w:pPr>
      <w:r w:rsidRPr="00DC2A61">
        <w:rPr>
          <w:b/>
          <w:sz w:val="26"/>
          <w:szCs w:val="26"/>
        </w:rPr>
        <w:t>09:30 – 10:</w:t>
      </w:r>
      <w:r w:rsidR="009C7086">
        <w:rPr>
          <w:b/>
          <w:sz w:val="26"/>
          <w:szCs w:val="26"/>
        </w:rPr>
        <w:t>45</w:t>
      </w:r>
      <w:r w:rsidR="004D3308">
        <w:rPr>
          <w:sz w:val="26"/>
          <w:szCs w:val="26"/>
        </w:rPr>
        <w:t xml:space="preserve"> – Discussion Topic</w:t>
      </w:r>
      <w:r w:rsidR="00E8405C">
        <w:rPr>
          <w:sz w:val="26"/>
          <w:szCs w:val="26"/>
        </w:rPr>
        <w:t>s, Part 1</w:t>
      </w:r>
      <w:r w:rsidR="004D3308">
        <w:rPr>
          <w:sz w:val="26"/>
          <w:szCs w:val="26"/>
        </w:rPr>
        <w:t xml:space="preserve"> – D</w:t>
      </w:r>
      <w:r w:rsidR="00E33D31">
        <w:rPr>
          <w:sz w:val="26"/>
          <w:szCs w:val="26"/>
        </w:rPr>
        <w:t xml:space="preserve">an </w:t>
      </w:r>
      <w:proofErr w:type="spellStart"/>
      <w:r w:rsidR="00E33D31">
        <w:rPr>
          <w:sz w:val="26"/>
          <w:szCs w:val="26"/>
        </w:rPr>
        <w:t>Searfoorce</w:t>
      </w:r>
      <w:proofErr w:type="spellEnd"/>
    </w:p>
    <w:p w14:paraId="5E50427C" w14:textId="47F7DF70" w:rsidR="00E8405C" w:rsidRDefault="00E8405C" w:rsidP="00E8405C">
      <w:pPr>
        <w:pStyle w:val="ListParagraph"/>
        <w:numPr>
          <w:ilvl w:val="1"/>
          <w:numId w:val="21"/>
        </w:numPr>
        <w:rPr>
          <w:sz w:val="26"/>
          <w:szCs w:val="26"/>
        </w:rPr>
      </w:pPr>
      <w:r w:rsidRPr="00E8405C">
        <w:rPr>
          <w:sz w:val="26"/>
          <w:szCs w:val="26"/>
        </w:rPr>
        <w:t xml:space="preserve">Existing </w:t>
      </w:r>
      <w:r w:rsidR="001B0540">
        <w:rPr>
          <w:sz w:val="26"/>
          <w:szCs w:val="26"/>
        </w:rPr>
        <w:t xml:space="preserve">Reliability Regulations for </w:t>
      </w:r>
      <w:r w:rsidR="00E264DC">
        <w:rPr>
          <w:sz w:val="26"/>
          <w:szCs w:val="26"/>
        </w:rPr>
        <w:t>E</w:t>
      </w:r>
      <w:r w:rsidR="001B0540">
        <w:rPr>
          <w:sz w:val="26"/>
          <w:szCs w:val="26"/>
        </w:rPr>
        <w:t xml:space="preserve">lectric </w:t>
      </w:r>
      <w:r w:rsidR="00E264DC">
        <w:rPr>
          <w:sz w:val="26"/>
          <w:szCs w:val="26"/>
        </w:rPr>
        <w:t>D</w:t>
      </w:r>
      <w:r w:rsidR="001B0540">
        <w:rPr>
          <w:sz w:val="26"/>
          <w:szCs w:val="26"/>
        </w:rPr>
        <w:t xml:space="preserve">istribution </w:t>
      </w:r>
      <w:r w:rsidR="00E264DC">
        <w:rPr>
          <w:sz w:val="26"/>
          <w:szCs w:val="26"/>
        </w:rPr>
        <w:t>C</w:t>
      </w:r>
      <w:r w:rsidR="001B0540">
        <w:rPr>
          <w:sz w:val="26"/>
          <w:szCs w:val="26"/>
        </w:rPr>
        <w:t>ompanies (</w:t>
      </w:r>
      <w:r w:rsidRPr="00E8405C">
        <w:rPr>
          <w:sz w:val="26"/>
          <w:szCs w:val="26"/>
        </w:rPr>
        <w:t>EDC</w:t>
      </w:r>
      <w:r w:rsidR="001B0540">
        <w:rPr>
          <w:sz w:val="26"/>
          <w:szCs w:val="26"/>
        </w:rPr>
        <w:t>)</w:t>
      </w:r>
    </w:p>
    <w:p w14:paraId="220061AF" w14:textId="77777777" w:rsidR="00E54F6B" w:rsidRDefault="00E54F6B" w:rsidP="00E54F6B">
      <w:pPr>
        <w:pStyle w:val="ListParagraph"/>
        <w:ind w:left="1440"/>
        <w:rPr>
          <w:sz w:val="26"/>
          <w:szCs w:val="26"/>
        </w:rPr>
      </w:pPr>
    </w:p>
    <w:p w14:paraId="18D04294" w14:textId="33B6CB14" w:rsidR="00E54F6B" w:rsidRDefault="00E54F6B" w:rsidP="00E54F6B">
      <w:pPr>
        <w:pStyle w:val="ListParagraph"/>
        <w:numPr>
          <w:ilvl w:val="2"/>
          <w:numId w:val="21"/>
        </w:numPr>
        <w:rPr>
          <w:sz w:val="26"/>
          <w:szCs w:val="26"/>
        </w:rPr>
      </w:pPr>
      <w:r>
        <w:rPr>
          <w:sz w:val="26"/>
          <w:szCs w:val="26"/>
        </w:rPr>
        <w:t>Brief overview of existing regulations</w:t>
      </w:r>
    </w:p>
    <w:p w14:paraId="64F697B5" w14:textId="77777777" w:rsidR="00D668F0" w:rsidRDefault="00D668F0" w:rsidP="00D668F0">
      <w:pPr>
        <w:pStyle w:val="ListParagraph"/>
        <w:ind w:left="1440"/>
        <w:rPr>
          <w:sz w:val="26"/>
          <w:szCs w:val="26"/>
        </w:rPr>
      </w:pPr>
    </w:p>
    <w:p w14:paraId="7B3D37E8" w14:textId="129D02F1" w:rsidR="00D668F0" w:rsidRDefault="00A50669" w:rsidP="00D668F0">
      <w:pPr>
        <w:pStyle w:val="ListParagraph"/>
        <w:numPr>
          <w:ilvl w:val="1"/>
          <w:numId w:val="21"/>
        </w:numPr>
        <w:rPr>
          <w:i/>
          <w:iCs/>
          <w:sz w:val="26"/>
          <w:szCs w:val="26"/>
        </w:rPr>
      </w:pPr>
      <w:r w:rsidRPr="00A50669">
        <w:rPr>
          <w:sz w:val="26"/>
          <w:szCs w:val="26"/>
        </w:rPr>
        <w:t xml:space="preserve">IEEE 1366-2012, </w:t>
      </w:r>
      <w:r w:rsidRPr="00A50669">
        <w:rPr>
          <w:i/>
          <w:iCs/>
          <w:sz w:val="26"/>
          <w:szCs w:val="26"/>
        </w:rPr>
        <w:t>IEEE Guide for Electric Power Distribution Reliability Indices</w:t>
      </w:r>
    </w:p>
    <w:p w14:paraId="43E616CE" w14:textId="77777777" w:rsidR="00A50669" w:rsidRPr="00A50669" w:rsidRDefault="00A50669" w:rsidP="00A50669">
      <w:pPr>
        <w:pStyle w:val="ListParagraph"/>
        <w:rPr>
          <w:i/>
          <w:iCs/>
          <w:sz w:val="26"/>
          <w:szCs w:val="26"/>
        </w:rPr>
      </w:pPr>
    </w:p>
    <w:p w14:paraId="2C86A148" w14:textId="09221DF3" w:rsidR="00A50669" w:rsidRPr="000E3522" w:rsidRDefault="00A50669" w:rsidP="00A50669">
      <w:pPr>
        <w:pStyle w:val="ListParagraph"/>
        <w:numPr>
          <w:ilvl w:val="2"/>
          <w:numId w:val="21"/>
        </w:numPr>
        <w:rPr>
          <w:i/>
          <w:iCs/>
          <w:sz w:val="26"/>
          <w:szCs w:val="26"/>
        </w:rPr>
      </w:pPr>
      <w:r>
        <w:rPr>
          <w:sz w:val="26"/>
          <w:szCs w:val="26"/>
        </w:rPr>
        <w:t xml:space="preserve">How would adoption or adaptation of the </w:t>
      </w:r>
      <w:r w:rsidR="002B4D27">
        <w:rPr>
          <w:sz w:val="26"/>
          <w:szCs w:val="26"/>
        </w:rPr>
        <w:t>IEEE methodologies, especially of excludable events</w:t>
      </w:r>
      <w:r w:rsidR="00970E9D">
        <w:rPr>
          <w:sz w:val="26"/>
          <w:szCs w:val="26"/>
        </w:rPr>
        <w:t>,</w:t>
      </w:r>
      <w:r w:rsidR="002B4D27">
        <w:rPr>
          <w:sz w:val="26"/>
          <w:szCs w:val="26"/>
        </w:rPr>
        <w:t xml:space="preserve"> impact </w:t>
      </w:r>
      <w:r w:rsidR="00C42C2C">
        <w:rPr>
          <w:sz w:val="26"/>
          <w:szCs w:val="26"/>
        </w:rPr>
        <w:t>the calculation of reliability statistics?</w:t>
      </w:r>
    </w:p>
    <w:p w14:paraId="7CE3ADCB" w14:textId="47D5285F" w:rsidR="000E3522" w:rsidRPr="00C42C2C" w:rsidRDefault="000E3522" w:rsidP="00A50669">
      <w:pPr>
        <w:pStyle w:val="ListParagraph"/>
        <w:numPr>
          <w:ilvl w:val="2"/>
          <w:numId w:val="21"/>
        </w:numPr>
        <w:rPr>
          <w:i/>
          <w:iCs/>
          <w:sz w:val="26"/>
          <w:szCs w:val="26"/>
        </w:rPr>
      </w:pPr>
      <w:r>
        <w:rPr>
          <w:sz w:val="26"/>
          <w:szCs w:val="26"/>
        </w:rPr>
        <w:t>What are the benefits of adoption of the IEEE methodologies?</w:t>
      </w:r>
    </w:p>
    <w:p w14:paraId="4B188B92" w14:textId="159B6432" w:rsidR="00C42C2C" w:rsidRPr="00C42C2C" w:rsidRDefault="00C42C2C" w:rsidP="00A50669">
      <w:pPr>
        <w:pStyle w:val="ListParagraph"/>
        <w:numPr>
          <w:ilvl w:val="2"/>
          <w:numId w:val="21"/>
        </w:numPr>
        <w:rPr>
          <w:i/>
          <w:iCs/>
          <w:sz w:val="26"/>
          <w:szCs w:val="26"/>
        </w:rPr>
      </w:pPr>
      <w:r>
        <w:rPr>
          <w:sz w:val="26"/>
          <w:szCs w:val="26"/>
        </w:rPr>
        <w:t>Would the EDC reliability benchmarks need to be modified?</w:t>
      </w:r>
    </w:p>
    <w:p w14:paraId="055F86FE" w14:textId="08879553" w:rsidR="00C42C2C" w:rsidRPr="007B3125" w:rsidRDefault="00C42C2C" w:rsidP="00A50669">
      <w:pPr>
        <w:pStyle w:val="ListParagraph"/>
        <w:numPr>
          <w:ilvl w:val="2"/>
          <w:numId w:val="21"/>
        </w:numPr>
        <w:rPr>
          <w:i/>
          <w:iCs/>
          <w:sz w:val="26"/>
          <w:szCs w:val="26"/>
        </w:rPr>
      </w:pPr>
      <w:r>
        <w:rPr>
          <w:sz w:val="26"/>
          <w:szCs w:val="26"/>
        </w:rPr>
        <w:t xml:space="preserve">Does </w:t>
      </w:r>
      <w:r w:rsidR="006A313C">
        <w:rPr>
          <w:sz w:val="26"/>
          <w:szCs w:val="26"/>
        </w:rPr>
        <w:t xml:space="preserve">utilizing statistical average performance over certain time periods benefit historically poor performers?  </w:t>
      </w:r>
    </w:p>
    <w:p w14:paraId="54783F15" w14:textId="499BC173" w:rsidR="007B3125" w:rsidRPr="00970E9D" w:rsidRDefault="007B3125" w:rsidP="00A50669">
      <w:pPr>
        <w:pStyle w:val="ListParagraph"/>
        <w:numPr>
          <w:ilvl w:val="2"/>
          <w:numId w:val="21"/>
        </w:numPr>
        <w:rPr>
          <w:i/>
          <w:iCs/>
          <w:sz w:val="26"/>
          <w:szCs w:val="26"/>
        </w:rPr>
      </w:pPr>
      <w:r>
        <w:rPr>
          <w:sz w:val="26"/>
          <w:szCs w:val="26"/>
        </w:rPr>
        <w:t>D</w:t>
      </w:r>
      <w:r w:rsidR="00E54F6B">
        <w:rPr>
          <w:sz w:val="26"/>
          <w:szCs w:val="26"/>
        </w:rPr>
        <w:t>o the current statutes limit the ability to change EDC reliability benchmarks?</w:t>
      </w:r>
    </w:p>
    <w:p w14:paraId="48138090" w14:textId="4D1BA479" w:rsidR="00E8405C" w:rsidRPr="00E8405C" w:rsidRDefault="00E8405C" w:rsidP="00DC2A61">
      <w:pPr>
        <w:pStyle w:val="ListParagraph"/>
        <w:ind w:left="1440"/>
        <w:rPr>
          <w:sz w:val="26"/>
          <w:szCs w:val="26"/>
        </w:rPr>
      </w:pPr>
    </w:p>
    <w:p w14:paraId="18F9D97B" w14:textId="77777777" w:rsidR="004125EF" w:rsidRDefault="00046FC9" w:rsidP="00DC2A61">
      <w:pPr>
        <w:pStyle w:val="ListParagraph"/>
        <w:numPr>
          <w:ilvl w:val="1"/>
          <w:numId w:val="21"/>
        </w:numPr>
        <w:spacing w:line="480" w:lineRule="auto"/>
        <w:rPr>
          <w:sz w:val="26"/>
          <w:szCs w:val="26"/>
        </w:rPr>
      </w:pPr>
      <w:r>
        <w:rPr>
          <w:sz w:val="26"/>
          <w:szCs w:val="26"/>
        </w:rPr>
        <w:t>Off-Right-of-Way (OROW) Trees</w:t>
      </w:r>
    </w:p>
    <w:p w14:paraId="0F415560" w14:textId="7BC1279B" w:rsidR="004125EF" w:rsidRDefault="004125EF" w:rsidP="004125EF">
      <w:pPr>
        <w:pStyle w:val="ListParagraph"/>
        <w:numPr>
          <w:ilvl w:val="2"/>
          <w:numId w:val="21"/>
        </w:numPr>
        <w:rPr>
          <w:sz w:val="26"/>
          <w:szCs w:val="26"/>
        </w:rPr>
      </w:pPr>
      <w:r>
        <w:rPr>
          <w:sz w:val="26"/>
          <w:szCs w:val="26"/>
        </w:rPr>
        <w:lastRenderedPageBreak/>
        <w:t xml:space="preserve">Are there </w:t>
      </w:r>
      <w:r w:rsidRPr="004125EF">
        <w:rPr>
          <w:sz w:val="26"/>
          <w:szCs w:val="26"/>
        </w:rPr>
        <w:t xml:space="preserve">any </w:t>
      </w:r>
      <w:r>
        <w:rPr>
          <w:sz w:val="26"/>
          <w:szCs w:val="26"/>
        </w:rPr>
        <w:t xml:space="preserve">societal, </w:t>
      </w:r>
      <w:r w:rsidRPr="004125EF">
        <w:rPr>
          <w:sz w:val="26"/>
          <w:szCs w:val="26"/>
        </w:rPr>
        <w:t>regulatory</w:t>
      </w:r>
      <w:r w:rsidR="00875C23">
        <w:rPr>
          <w:sz w:val="26"/>
          <w:szCs w:val="26"/>
        </w:rPr>
        <w:t>,</w:t>
      </w:r>
      <w:r w:rsidRPr="004125EF">
        <w:rPr>
          <w:sz w:val="26"/>
          <w:szCs w:val="26"/>
        </w:rPr>
        <w:t xml:space="preserve"> and/or legislative incentives</w:t>
      </w:r>
      <w:r>
        <w:rPr>
          <w:sz w:val="26"/>
          <w:szCs w:val="26"/>
        </w:rPr>
        <w:t>/changes that could</w:t>
      </w:r>
      <w:r w:rsidRPr="004125EF">
        <w:rPr>
          <w:sz w:val="26"/>
          <w:szCs w:val="26"/>
        </w:rPr>
        <w:t xml:space="preserve"> improve OROW tree issues</w:t>
      </w:r>
      <w:r>
        <w:rPr>
          <w:sz w:val="26"/>
          <w:szCs w:val="26"/>
        </w:rPr>
        <w:t>?</w:t>
      </w:r>
    </w:p>
    <w:p w14:paraId="3C19709A" w14:textId="77777777" w:rsidR="009F739C" w:rsidRDefault="009F739C" w:rsidP="009F739C">
      <w:pPr>
        <w:pStyle w:val="ListParagraph"/>
        <w:ind w:left="2160"/>
        <w:rPr>
          <w:sz w:val="26"/>
          <w:szCs w:val="26"/>
        </w:rPr>
      </w:pPr>
    </w:p>
    <w:p w14:paraId="4852A6E2" w14:textId="3180D7EB" w:rsidR="00E8405C" w:rsidRDefault="00E8405C" w:rsidP="00DC2A61">
      <w:pPr>
        <w:pStyle w:val="ListParagraph"/>
        <w:numPr>
          <w:ilvl w:val="0"/>
          <w:numId w:val="21"/>
        </w:numPr>
        <w:spacing w:line="480" w:lineRule="auto"/>
        <w:rPr>
          <w:sz w:val="26"/>
          <w:szCs w:val="26"/>
        </w:rPr>
      </w:pPr>
      <w:r w:rsidRPr="00DC2A61">
        <w:rPr>
          <w:b/>
          <w:sz w:val="26"/>
          <w:szCs w:val="26"/>
        </w:rPr>
        <w:t>10:</w:t>
      </w:r>
      <w:r w:rsidR="009C7086">
        <w:rPr>
          <w:b/>
          <w:sz w:val="26"/>
          <w:szCs w:val="26"/>
        </w:rPr>
        <w:t>45</w:t>
      </w:r>
      <w:r w:rsidRPr="00DC2A61">
        <w:rPr>
          <w:b/>
          <w:sz w:val="26"/>
          <w:szCs w:val="26"/>
        </w:rPr>
        <w:t xml:space="preserve"> – 1</w:t>
      </w:r>
      <w:r w:rsidR="009C7086">
        <w:rPr>
          <w:b/>
          <w:sz w:val="26"/>
          <w:szCs w:val="26"/>
        </w:rPr>
        <w:t>1:00</w:t>
      </w:r>
      <w:r w:rsidRPr="00DC2A61">
        <w:rPr>
          <w:b/>
          <w:sz w:val="26"/>
          <w:szCs w:val="26"/>
        </w:rPr>
        <w:t xml:space="preserve"> </w:t>
      </w:r>
      <w:r>
        <w:rPr>
          <w:sz w:val="26"/>
          <w:szCs w:val="26"/>
        </w:rPr>
        <w:t>– Break</w:t>
      </w:r>
    </w:p>
    <w:p w14:paraId="11B1A122" w14:textId="67CD4BBD" w:rsidR="00E8405C" w:rsidRDefault="00E8405C" w:rsidP="00DC2A61">
      <w:pPr>
        <w:pStyle w:val="ListParagraph"/>
        <w:numPr>
          <w:ilvl w:val="0"/>
          <w:numId w:val="21"/>
        </w:numPr>
        <w:spacing w:line="480" w:lineRule="auto"/>
        <w:rPr>
          <w:sz w:val="26"/>
          <w:szCs w:val="26"/>
        </w:rPr>
      </w:pPr>
      <w:r w:rsidRPr="00DC2A61">
        <w:rPr>
          <w:b/>
          <w:sz w:val="26"/>
          <w:szCs w:val="26"/>
        </w:rPr>
        <w:t>1</w:t>
      </w:r>
      <w:r w:rsidR="009C7086">
        <w:rPr>
          <w:b/>
          <w:sz w:val="26"/>
          <w:szCs w:val="26"/>
        </w:rPr>
        <w:t>1:00</w:t>
      </w:r>
      <w:r w:rsidRPr="00DC2A61">
        <w:rPr>
          <w:b/>
          <w:sz w:val="26"/>
          <w:szCs w:val="26"/>
        </w:rPr>
        <w:t xml:space="preserve"> – 11:</w:t>
      </w:r>
      <w:r w:rsidR="00CC04ED">
        <w:rPr>
          <w:b/>
          <w:sz w:val="26"/>
          <w:szCs w:val="26"/>
        </w:rPr>
        <w:t>45</w:t>
      </w:r>
      <w:r>
        <w:rPr>
          <w:sz w:val="26"/>
          <w:szCs w:val="26"/>
        </w:rPr>
        <w:t xml:space="preserve"> – </w:t>
      </w:r>
      <w:r w:rsidR="00D6200A" w:rsidRPr="00D6200A">
        <w:rPr>
          <w:sz w:val="26"/>
          <w:szCs w:val="26"/>
        </w:rPr>
        <w:t xml:space="preserve">Discussion Topics, Part </w:t>
      </w:r>
      <w:r w:rsidR="00E578AC">
        <w:rPr>
          <w:sz w:val="26"/>
          <w:szCs w:val="26"/>
        </w:rPr>
        <w:t>2</w:t>
      </w:r>
      <w:r w:rsidR="00D6200A" w:rsidRPr="00D6200A">
        <w:rPr>
          <w:sz w:val="26"/>
          <w:szCs w:val="26"/>
        </w:rPr>
        <w:t xml:space="preserve"> – </w:t>
      </w:r>
      <w:r w:rsidR="00E578AC">
        <w:rPr>
          <w:sz w:val="26"/>
          <w:szCs w:val="26"/>
        </w:rPr>
        <w:t xml:space="preserve">John Van </w:t>
      </w:r>
      <w:proofErr w:type="spellStart"/>
      <w:r w:rsidR="00E578AC">
        <w:rPr>
          <w:sz w:val="26"/>
          <w:szCs w:val="26"/>
        </w:rPr>
        <w:t>Zant</w:t>
      </w:r>
      <w:proofErr w:type="spellEnd"/>
    </w:p>
    <w:p w14:paraId="50E7A450" w14:textId="77777777" w:rsidR="00D6200A" w:rsidRDefault="00D6200A" w:rsidP="00D6200A">
      <w:pPr>
        <w:pStyle w:val="ListParagraph"/>
        <w:numPr>
          <w:ilvl w:val="1"/>
          <w:numId w:val="21"/>
        </w:numPr>
        <w:rPr>
          <w:sz w:val="26"/>
          <w:szCs w:val="26"/>
        </w:rPr>
      </w:pPr>
      <w:r>
        <w:rPr>
          <w:sz w:val="26"/>
          <w:szCs w:val="26"/>
        </w:rPr>
        <w:t>Performance-Based Rates</w:t>
      </w:r>
    </w:p>
    <w:p w14:paraId="619782A7" w14:textId="77777777" w:rsidR="00D6200A" w:rsidRDefault="00D6200A" w:rsidP="00D6200A">
      <w:pPr>
        <w:pStyle w:val="ListParagraph"/>
        <w:ind w:left="1440"/>
        <w:rPr>
          <w:sz w:val="26"/>
          <w:szCs w:val="26"/>
        </w:rPr>
      </w:pPr>
    </w:p>
    <w:p w14:paraId="0C7C2899" w14:textId="77777777" w:rsidR="00D6200A" w:rsidRDefault="00D6200A" w:rsidP="00D6200A">
      <w:pPr>
        <w:pStyle w:val="ListParagraph"/>
        <w:numPr>
          <w:ilvl w:val="2"/>
          <w:numId w:val="21"/>
        </w:numPr>
        <w:rPr>
          <w:sz w:val="26"/>
          <w:szCs w:val="26"/>
        </w:rPr>
      </w:pPr>
      <w:r>
        <w:rPr>
          <w:sz w:val="26"/>
          <w:szCs w:val="26"/>
        </w:rPr>
        <w:t xml:space="preserve">What </w:t>
      </w:r>
      <w:r w:rsidRPr="00875C23">
        <w:rPr>
          <w:sz w:val="26"/>
          <w:szCs w:val="26"/>
        </w:rPr>
        <w:t xml:space="preserve">options </w:t>
      </w:r>
      <w:r>
        <w:rPr>
          <w:sz w:val="26"/>
          <w:szCs w:val="26"/>
        </w:rPr>
        <w:t xml:space="preserve">or opportunities are there for </w:t>
      </w:r>
      <w:r w:rsidRPr="00875C23">
        <w:rPr>
          <w:sz w:val="26"/>
          <w:szCs w:val="26"/>
        </w:rPr>
        <w:t>performance-based rates tied to reliability metrics</w:t>
      </w:r>
      <w:r>
        <w:rPr>
          <w:sz w:val="26"/>
          <w:szCs w:val="26"/>
        </w:rPr>
        <w:t xml:space="preserve">?  </w:t>
      </w:r>
    </w:p>
    <w:p w14:paraId="122E2697" w14:textId="77777777" w:rsidR="00D6200A" w:rsidRDefault="00D6200A" w:rsidP="00D6200A">
      <w:pPr>
        <w:pStyle w:val="ListParagraph"/>
        <w:numPr>
          <w:ilvl w:val="2"/>
          <w:numId w:val="21"/>
        </w:numPr>
        <w:rPr>
          <w:sz w:val="26"/>
          <w:szCs w:val="26"/>
        </w:rPr>
      </w:pPr>
      <w:r>
        <w:rPr>
          <w:sz w:val="26"/>
          <w:szCs w:val="26"/>
        </w:rPr>
        <w:t>Would those performance-based rates lead</w:t>
      </w:r>
      <w:r w:rsidRPr="00875C23">
        <w:rPr>
          <w:sz w:val="26"/>
          <w:szCs w:val="26"/>
        </w:rPr>
        <w:t xml:space="preserve"> to improved reliability performance at a reasonable cost</w:t>
      </w:r>
      <w:r>
        <w:rPr>
          <w:sz w:val="26"/>
          <w:szCs w:val="26"/>
        </w:rPr>
        <w:t>?</w:t>
      </w:r>
    </w:p>
    <w:p w14:paraId="0F8B1A64" w14:textId="77777777" w:rsidR="00D6200A" w:rsidRDefault="00D6200A" w:rsidP="00D6200A">
      <w:pPr>
        <w:pStyle w:val="ListParagraph"/>
        <w:numPr>
          <w:ilvl w:val="2"/>
          <w:numId w:val="21"/>
        </w:numPr>
        <w:rPr>
          <w:sz w:val="26"/>
          <w:szCs w:val="26"/>
        </w:rPr>
      </w:pPr>
      <w:r>
        <w:rPr>
          <w:sz w:val="26"/>
          <w:szCs w:val="26"/>
        </w:rPr>
        <w:t>What would those rate structures or policies look like?</w:t>
      </w:r>
    </w:p>
    <w:p w14:paraId="66803642" w14:textId="77777777" w:rsidR="00D6200A" w:rsidRPr="001C7ABE" w:rsidRDefault="00D6200A" w:rsidP="00D6200A">
      <w:pPr>
        <w:pStyle w:val="ListParagraph"/>
        <w:ind w:left="2160"/>
        <w:rPr>
          <w:sz w:val="26"/>
          <w:szCs w:val="26"/>
        </w:rPr>
      </w:pPr>
    </w:p>
    <w:p w14:paraId="5FAE6A33" w14:textId="77777777" w:rsidR="00D6200A" w:rsidRDefault="00D6200A" w:rsidP="00D6200A">
      <w:pPr>
        <w:pStyle w:val="ListParagraph"/>
        <w:numPr>
          <w:ilvl w:val="1"/>
          <w:numId w:val="21"/>
        </w:numPr>
        <w:spacing w:line="480" w:lineRule="auto"/>
        <w:rPr>
          <w:sz w:val="26"/>
          <w:szCs w:val="26"/>
        </w:rPr>
      </w:pPr>
      <w:r>
        <w:rPr>
          <w:sz w:val="26"/>
          <w:szCs w:val="26"/>
        </w:rPr>
        <w:t>The Customer Experience</w:t>
      </w:r>
    </w:p>
    <w:p w14:paraId="412D19C4" w14:textId="621EA727" w:rsidR="00D6200A" w:rsidRDefault="00D6200A" w:rsidP="00D6200A">
      <w:pPr>
        <w:pStyle w:val="ListParagraph"/>
        <w:numPr>
          <w:ilvl w:val="2"/>
          <w:numId w:val="21"/>
        </w:numPr>
        <w:rPr>
          <w:sz w:val="26"/>
          <w:szCs w:val="26"/>
        </w:rPr>
      </w:pPr>
      <w:r>
        <w:rPr>
          <w:sz w:val="26"/>
          <w:szCs w:val="26"/>
        </w:rPr>
        <w:t xml:space="preserve">How </w:t>
      </w:r>
      <w:r w:rsidR="009F739C">
        <w:rPr>
          <w:sz w:val="26"/>
          <w:szCs w:val="26"/>
        </w:rPr>
        <w:t>do we</w:t>
      </w:r>
      <w:r w:rsidRPr="00D6200A">
        <w:rPr>
          <w:sz w:val="26"/>
          <w:szCs w:val="26"/>
        </w:rPr>
        <w:t xml:space="preserve"> determine what are </w:t>
      </w:r>
      <w:r>
        <w:rPr>
          <w:sz w:val="26"/>
          <w:szCs w:val="26"/>
        </w:rPr>
        <w:t xml:space="preserve">the </w:t>
      </w:r>
      <w:r w:rsidRPr="00D6200A">
        <w:rPr>
          <w:sz w:val="26"/>
          <w:szCs w:val="26"/>
        </w:rPr>
        <w:t>customers’ expectations for electric reliability and the cost of that performance expectation through rates</w:t>
      </w:r>
      <w:r>
        <w:rPr>
          <w:sz w:val="26"/>
          <w:szCs w:val="26"/>
        </w:rPr>
        <w:t xml:space="preserve">?  </w:t>
      </w:r>
    </w:p>
    <w:p w14:paraId="7A425BFA" w14:textId="389923B7" w:rsidR="00D6200A" w:rsidRDefault="00B907B4" w:rsidP="00D6200A">
      <w:pPr>
        <w:pStyle w:val="ListParagraph"/>
        <w:numPr>
          <w:ilvl w:val="2"/>
          <w:numId w:val="21"/>
        </w:numPr>
        <w:rPr>
          <w:sz w:val="26"/>
          <w:szCs w:val="26"/>
        </w:rPr>
      </w:pPr>
      <w:r>
        <w:rPr>
          <w:sz w:val="26"/>
          <w:szCs w:val="26"/>
        </w:rPr>
        <w:t xml:space="preserve">How can we determine </w:t>
      </w:r>
      <w:r w:rsidR="00D6200A" w:rsidRPr="00D6200A">
        <w:rPr>
          <w:sz w:val="26"/>
          <w:szCs w:val="26"/>
        </w:rPr>
        <w:t xml:space="preserve">customers’ expectations and at what price point is there pushback?  </w:t>
      </w:r>
    </w:p>
    <w:p w14:paraId="5ECF759D" w14:textId="18092EC2" w:rsidR="00D6200A" w:rsidRDefault="00D6200A" w:rsidP="00D6200A">
      <w:pPr>
        <w:pStyle w:val="ListParagraph"/>
        <w:numPr>
          <w:ilvl w:val="2"/>
          <w:numId w:val="21"/>
        </w:numPr>
        <w:rPr>
          <w:sz w:val="26"/>
          <w:szCs w:val="26"/>
        </w:rPr>
      </w:pPr>
      <w:r w:rsidRPr="00D6200A">
        <w:rPr>
          <w:sz w:val="26"/>
          <w:szCs w:val="26"/>
        </w:rPr>
        <w:t xml:space="preserve">What </w:t>
      </w:r>
      <w:r w:rsidR="0044456C">
        <w:rPr>
          <w:sz w:val="26"/>
          <w:szCs w:val="26"/>
        </w:rPr>
        <w:t xml:space="preserve">are some ways that we </w:t>
      </w:r>
      <w:r w:rsidRPr="00D6200A">
        <w:rPr>
          <w:sz w:val="26"/>
          <w:szCs w:val="26"/>
        </w:rPr>
        <w:t xml:space="preserve">could </w:t>
      </w:r>
      <w:r w:rsidR="0044456C">
        <w:rPr>
          <w:sz w:val="26"/>
          <w:szCs w:val="26"/>
        </w:rPr>
        <w:t xml:space="preserve">determine what </w:t>
      </w:r>
      <w:r w:rsidRPr="00D6200A">
        <w:rPr>
          <w:sz w:val="26"/>
          <w:szCs w:val="26"/>
        </w:rPr>
        <w:t>customers</w:t>
      </w:r>
      <w:r w:rsidR="0044456C">
        <w:rPr>
          <w:sz w:val="26"/>
          <w:szCs w:val="26"/>
        </w:rPr>
        <w:t xml:space="preserve"> could</w:t>
      </w:r>
      <w:r w:rsidRPr="00D6200A">
        <w:rPr>
          <w:sz w:val="26"/>
          <w:szCs w:val="26"/>
        </w:rPr>
        <w:t xml:space="preserve"> “live with” in terms of expected reliability on “blue-sky” days vs. severe storm days? </w:t>
      </w:r>
    </w:p>
    <w:p w14:paraId="6739936A" w14:textId="77777777" w:rsidR="003B45C5" w:rsidRDefault="003B45C5" w:rsidP="003B45C5">
      <w:pPr>
        <w:pStyle w:val="ListParagraph"/>
        <w:ind w:left="2160"/>
        <w:rPr>
          <w:sz w:val="26"/>
          <w:szCs w:val="26"/>
        </w:rPr>
      </w:pPr>
    </w:p>
    <w:p w14:paraId="30D4A6D0" w14:textId="7440588C" w:rsidR="003E452E" w:rsidRDefault="00E42DE0" w:rsidP="00DC2A61">
      <w:pPr>
        <w:pStyle w:val="ListParagraph"/>
        <w:numPr>
          <w:ilvl w:val="0"/>
          <w:numId w:val="21"/>
        </w:numPr>
        <w:spacing w:line="480" w:lineRule="auto"/>
        <w:rPr>
          <w:sz w:val="26"/>
          <w:szCs w:val="26"/>
        </w:rPr>
      </w:pPr>
      <w:r w:rsidRPr="00DC2A61">
        <w:rPr>
          <w:b/>
          <w:sz w:val="26"/>
          <w:szCs w:val="26"/>
        </w:rPr>
        <w:t>11:45 – 12:00</w:t>
      </w:r>
      <w:r>
        <w:rPr>
          <w:sz w:val="26"/>
          <w:szCs w:val="26"/>
        </w:rPr>
        <w:t xml:space="preserve"> – Determine n</w:t>
      </w:r>
      <w:r w:rsidR="00B43448" w:rsidRPr="001C7ABE">
        <w:rPr>
          <w:sz w:val="26"/>
          <w:szCs w:val="26"/>
        </w:rPr>
        <w:t xml:space="preserve">ext steps: </w:t>
      </w:r>
    </w:p>
    <w:p w14:paraId="69104BAF" w14:textId="77777777" w:rsidR="00E42DE0" w:rsidRDefault="00E42DE0" w:rsidP="00DC2A61">
      <w:pPr>
        <w:pStyle w:val="ListParagraph"/>
        <w:numPr>
          <w:ilvl w:val="1"/>
          <w:numId w:val="21"/>
        </w:numPr>
        <w:spacing w:line="480" w:lineRule="auto"/>
        <w:rPr>
          <w:sz w:val="26"/>
          <w:szCs w:val="26"/>
        </w:rPr>
      </w:pPr>
      <w:r>
        <w:rPr>
          <w:sz w:val="26"/>
          <w:szCs w:val="26"/>
        </w:rPr>
        <w:t>Meeting Dates</w:t>
      </w:r>
    </w:p>
    <w:p w14:paraId="31345569" w14:textId="77777777" w:rsidR="00E42DE0" w:rsidRDefault="00E42DE0" w:rsidP="00DC2A61">
      <w:pPr>
        <w:pStyle w:val="ListParagraph"/>
        <w:numPr>
          <w:ilvl w:val="1"/>
          <w:numId w:val="21"/>
        </w:numPr>
        <w:spacing w:line="480" w:lineRule="auto"/>
        <w:rPr>
          <w:sz w:val="26"/>
          <w:szCs w:val="26"/>
        </w:rPr>
      </w:pPr>
      <w:r>
        <w:rPr>
          <w:sz w:val="26"/>
          <w:szCs w:val="26"/>
        </w:rPr>
        <w:t>Committees/Subcommittees?</w:t>
      </w:r>
    </w:p>
    <w:p w14:paraId="3FBD7902" w14:textId="77777777" w:rsidR="00E42DE0" w:rsidRPr="001C7ABE" w:rsidRDefault="00E42DE0" w:rsidP="00DC2A61">
      <w:pPr>
        <w:pStyle w:val="ListParagraph"/>
        <w:numPr>
          <w:ilvl w:val="1"/>
          <w:numId w:val="21"/>
        </w:numPr>
        <w:spacing w:line="480" w:lineRule="auto"/>
        <w:rPr>
          <w:sz w:val="26"/>
          <w:szCs w:val="26"/>
        </w:rPr>
      </w:pPr>
      <w:r>
        <w:rPr>
          <w:sz w:val="26"/>
          <w:szCs w:val="26"/>
        </w:rPr>
        <w:t>Document controls</w:t>
      </w:r>
    </w:p>
    <w:sectPr w:rsidR="00E42DE0" w:rsidRPr="001C7ABE" w:rsidSect="000A78F3">
      <w:footerReference w:type="first" r:id="rId16"/>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06D7" w14:textId="77777777" w:rsidR="008E3A35" w:rsidRDefault="008E3A35">
      <w:r>
        <w:separator/>
      </w:r>
    </w:p>
  </w:endnote>
  <w:endnote w:type="continuationSeparator" w:id="0">
    <w:p w14:paraId="27EBD020" w14:textId="77777777" w:rsidR="008E3A35" w:rsidRDefault="008E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55C1" w14:textId="77777777" w:rsidR="005029A9" w:rsidRDefault="00502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4EBBB5" w14:textId="77777777" w:rsidR="005029A9" w:rsidRDefault="0050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18825"/>
      <w:docPartObj>
        <w:docPartGallery w:val="Page Numbers (Bottom of Page)"/>
        <w:docPartUnique/>
      </w:docPartObj>
    </w:sdtPr>
    <w:sdtEndPr>
      <w:rPr>
        <w:noProof/>
      </w:rPr>
    </w:sdtEndPr>
    <w:sdtContent>
      <w:p w14:paraId="407D53C4" w14:textId="5545E39F" w:rsidR="000A78F3" w:rsidRDefault="000A7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3E6AF" w14:textId="77777777" w:rsidR="005029A9" w:rsidRDefault="00502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EDC3" w14:textId="77777777" w:rsidR="005029A9" w:rsidRDefault="005029A9" w:rsidP="00D01AFD">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33459"/>
      <w:docPartObj>
        <w:docPartGallery w:val="Page Numbers (Bottom of Page)"/>
        <w:docPartUnique/>
      </w:docPartObj>
    </w:sdtPr>
    <w:sdtEndPr>
      <w:rPr>
        <w:noProof/>
      </w:rPr>
    </w:sdtEndPr>
    <w:sdtContent>
      <w:p w14:paraId="5458F594" w14:textId="5C4D6C38" w:rsidR="000A78F3" w:rsidRDefault="000A7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2FA27" w14:textId="77777777" w:rsidR="000A78F3" w:rsidRDefault="000A78F3" w:rsidP="00D01AFD">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6316"/>
      <w:docPartObj>
        <w:docPartGallery w:val="Page Numbers (Bottom of Page)"/>
        <w:docPartUnique/>
      </w:docPartObj>
    </w:sdtPr>
    <w:sdtEndPr>
      <w:rPr>
        <w:noProof/>
      </w:rPr>
    </w:sdtEndPr>
    <w:sdtContent>
      <w:p w14:paraId="61FED2A4" w14:textId="77777777" w:rsidR="000A78F3" w:rsidRDefault="000A7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3DB76" w14:textId="77777777" w:rsidR="000A78F3" w:rsidRDefault="000A78F3" w:rsidP="00D01AF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0CF1" w14:textId="77777777" w:rsidR="008E3A35" w:rsidRDefault="008E3A35">
      <w:r>
        <w:separator/>
      </w:r>
    </w:p>
  </w:footnote>
  <w:footnote w:type="continuationSeparator" w:id="0">
    <w:p w14:paraId="37A06E47" w14:textId="77777777" w:rsidR="008E3A35" w:rsidRDefault="008E3A35">
      <w:r>
        <w:continuationSeparator/>
      </w:r>
    </w:p>
  </w:footnote>
  <w:footnote w:id="1">
    <w:p w14:paraId="75BB81AD" w14:textId="18C37195" w:rsidR="0053323B" w:rsidRDefault="0053323B" w:rsidP="0053323B">
      <w:pPr>
        <w:pStyle w:val="FootnoteText"/>
      </w:pPr>
      <w:r>
        <w:rPr>
          <w:rStyle w:val="FootnoteReference"/>
        </w:rPr>
        <w:footnoteRef/>
      </w:r>
      <w:r>
        <w:t xml:space="preserve"> </w:t>
      </w:r>
      <w:r w:rsidRPr="008B0AD2">
        <w:t xml:space="preserve">The Electricity Generation Customer Choice and Competition Act mandated the Commission to ensure levels of reliability that existed prior to the restructuring of the electric utility industry continue in the new competitive markets.  Act of Dec. 3, 1996, P.L. 802, No. 138, 66 </w:t>
      </w:r>
      <w:proofErr w:type="spellStart"/>
      <w:r w:rsidRPr="008B0AD2">
        <w:t>Pa.C.S</w:t>
      </w:r>
      <w:proofErr w:type="spellEnd"/>
      <w:r w:rsidRPr="008B0AD2">
        <w:t xml:space="preserve">. §§ 2801 </w:t>
      </w:r>
      <w:proofErr w:type="spellStart"/>
      <w:r w:rsidRPr="008B0AD2">
        <w:t>et.seq</w:t>
      </w:r>
      <w:proofErr w:type="spellEnd"/>
      <w:r w:rsidRPr="008B0AD2">
        <w:t xml:space="preserve">.  In response to this mandate, the Commission promulgated regulations to ensure the continued safety, adequacy and reliability of the generation, </w:t>
      </w:r>
      <w:proofErr w:type="gramStart"/>
      <w:r w:rsidRPr="008B0AD2">
        <w:t>transmission</w:t>
      </w:r>
      <w:proofErr w:type="gramEnd"/>
      <w:r w:rsidRPr="008B0AD2">
        <w:t xml:space="preserve"> and distribution of electricity in the Commonwealth.  52 Pa. Code §§ 57.191-57.198.  The </w:t>
      </w:r>
      <w:r w:rsidR="00E5591C">
        <w:t>Commission</w:t>
      </w:r>
      <w:r w:rsidRPr="008B0AD2">
        <w:t xml:space="preserve"> also established reliability benchmarks and standards to measure the performance of each EDC at Docket No. M-00991220</w:t>
      </w:r>
      <w:r w:rsidR="00E5591C">
        <w:t xml:space="preserve">.  </w:t>
      </w:r>
    </w:p>
  </w:footnote>
  <w:footnote w:id="2">
    <w:p w14:paraId="470944E7" w14:textId="77777777" w:rsidR="006B36E0" w:rsidRDefault="006B36E0" w:rsidP="006B36E0">
      <w:pPr>
        <w:pStyle w:val="FootnoteText"/>
      </w:pPr>
      <w:r>
        <w:rPr>
          <w:rStyle w:val="FootnoteReference"/>
        </w:rPr>
        <w:footnoteRef/>
      </w:r>
      <w:r>
        <w:t xml:space="preserve"> The </w:t>
      </w:r>
      <w:r w:rsidRPr="003F1948">
        <w:rPr>
          <w:i/>
          <w:iCs/>
        </w:rPr>
        <w:t xml:space="preserve">Electric Service Reliability </w:t>
      </w:r>
      <w:proofErr w:type="gramStart"/>
      <w:r w:rsidRPr="003F1948">
        <w:rPr>
          <w:i/>
          <w:iCs/>
        </w:rPr>
        <w:t>In</w:t>
      </w:r>
      <w:proofErr w:type="gramEnd"/>
      <w:r w:rsidRPr="003F1948">
        <w:rPr>
          <w:i/>
          <w:iCs/>
        </w:rPr>
        <w:t xml:space="preserve"> Pennsylvania</w:t>
      </w:r>
      <w:r>
        <w:rPr>
          <w:i/>
          <w:iCs/>
        </w:rPr>
        <w:t xml:space="preserve"> 2019</w:t>
      </w:r>
      <w:r>
        <w:t xml:space="preserve"> report is available for download here: </w:t>
      </w:r>
      <w:hyperlink r:id="rId1" w:history="1">
        <w:r w:rsidRPr="001576F5">
          <w:rPr>
            <w:rStyle w:val="Hyperlink"/>
          </w:rPr>
          <w:t>https://www.puc.pa.gov/General/publications_reports/pdf/Electric_Service_Reliability2019.pdf</w:t>
        </w:r>
      </w:hyperlink>
      <w:r>
        <w:t xml:space="preserve">.  Previous years’ reports can be found here: </w:t>
      </w:r>
      <w:hyperlink r:id="rId2" w:history="1">
        <w:r w:rsidRPr="001576F5">
          <w:rPr>
            <w:rStyle w:val="Hyperlink"/>
          </w:rPr>
          <w:t>https://www.puc.pa.gov/filing-resources/reports/electric-service-reliability-report/</w:t>
        </w:r>
      </w:hyperlink>
      <w:r>
        <w:t xml:space="preserve">.  </w:t>
      </w:r>
    </w:p>
  </w:footnote>
  <w:footnote w:id="3">
    <w:p w14:paraId="49A51BCC" w14:textId="77777777" w:rsidR="006B36E0" w:rsidRPr="00F31AD3" w:rsidRDefault="006B36E0" w:rsidP="006B36E0">
      <w:pPr>
        <w:pStyle w:val="FootnoteText"/>
      </w:pPr>
      <w:r>
        <w:rPr>
          <w:rStyle w:val="FootnoteReference"/>
        </w:rPr>
        <w:footnoteRef/>
      </w:r>
      <w:r>
        <w:t xml:space="preserve"> </w:t>
      </w:r>
      <w:r w:rsidRPr="008C23D8">
        <w:rPr>
          <w:i/>
          <w:iCs/>
        </w:rPr>
        <w:t>See</w:t>
      </w:r>
      <w:r>
        <w:t xml:space="preserve"> </w:t>
      </w:r>
      <w:r w:rsidRPr="008C23D8">
        <w:rPr>
          <w:i/>
          <w:iCs/>
        </w:rPr>
        <w:t xml:space="preserve">Electric Service Reliability </w:t>
      </w:r>
      <w:proofErr w:type="gramStart"/>
      <w:r w:rsidRPr="008C23D8">
        <w:rPr>
          <w:i/>
          <w:iCs/>
        </w:rPr>
        <w:t>In</w:t>
      </w:r>
      <w:proofErr w:type="gramEnd"/>
      <w:r w:rsidRPr="008C23D8">
        <w:rPr>
          <w:i/>
          <w:iCs/>
        </w:rPr>
        <w:t xml:space="preserve"> Pennsylvania</w:t>
      </w:r>
      <w:r>
        <w:rPr>
          <w:i/>
          <w:iCs/>
        </w:rPr>
        <w:t xml:space="preserve"> 2019, </w:t>
      </w:r>
      <w:r>
        <w:t>pages 5-12.</w:t>
      </w:r>
    </w:p>
  </w:footnote>
  <w:footnote w:id="4">
    <w:p w14:paraId="5E284A28" w14:textId="77777777" w:rsidR="006B36E0" w:rsidRPr="00C2525F" w:rsidRDefault="006B36E0" w:rsidP="006B36E0">
      <w:pPr>
        <w:pStyle w:val="FootnoteText"/>
      </w:pPr>
      <w:r>
        <w:rPr>
          <w:rStyle w:val="FootnoteReference"/>
        </w:rPr>
        <w:footnoteRef/>
      </w:r>
      <w:r>
        <w:t xml:space="preserve"> PECO and PPL are both implementing their second LTIIPs at Docket Nos. </w:t>
      </w:r>
      <w:r w:rsidRPr="008B2F83">
        <w:t>P-2020-3020974</w:t>
      </w:r>
      <w:r>
        <w:t xml:space="preserve">, and </w:t>
      </w:r>
      <w:r w:rsidRPr="00140A67">
        <w:t>P-2020-3020974</w:t>
      </w:r>
      <w:r>
        <w:t xml:space="preserve">, respectively.  PECO and PPL have consistently achieved benchmark performance for the average number of outages that the average customer experiences in a 12-month period, or SAIFI.  EDC benchmark metrics and standards are explained in our annual reliability reports.  </w:t>
      </w:r>
      <w:r w:rsidRPr="00C2525F">
        <w:rPr>
          <w:i/>
          <w:iCs/>
        </w:rPr>
        <w:t xml:space="preserve">See Electric Service Reliability </w:t>
      </w:r>
      <w:proofErr w:type="gramStart"/>
      <w:r w:rsidRPr="00C2525F">
        <w:rPr>
          <w:i/>
          <w:iCs/>
        </w:rPr>
        <w:t>In</w:t>
      </w:r>
      <w:proofErr w:type="gramEnd"/>
      <w:r w:rsidRPr="00C2525F">
        <w:rPr>
          <w:i/>
          <w:iCs/>
        </w:rPr>
        <w:t xml:space="preserve"> Pennsylvania 2019</w:t>
      </w:r>
      <w:r>
        <w:rPr>
          <w:i/>
          <w:iCs/>
        </w:rPr>
        <w:t xml:space="preserve">, </w:t>
      </w:r>
      <w:r>
        <w:t xml:space="preserve">pages 2-4. </w:t>
      </w:r>
    </w:p>
  </w:footnote>
  <w:footnote w:id="5">
    <w:p w14:paraId="4AB1D3B2" w14:textId="77777777" w:rsidR="006B36E0" w:rsidRDefault="006B36E0" w:rsidP="006B36E0">
      <w:pPr>
        <w:pStyle w:val="FootnoteText"/>
      </w:pPr>
      <w:r>
        <w:rPr>
          <w:rStyle w:val="FootnoteReference"/>
        </w:rPr>
        <w:footnoteRef/>
      </w:r>
      <w:r>
        <w:t xml:space="preserve"> EDCs </w:t>
      </w:r>
      <w:proofErr w:type="gramStart"/>
      <w:r>
        <w:t>were allowed to</w:t>
      </w:r>
      <w:proofErr w:type="gramEnd"/>
      <w:r>
        <w:t xml:space="preserve"> file for the DSIC beginning in 2013.  66 </w:t>
      </w:r>
      <w:proofErr w:type="spellStart"/>
      <w:r>
        <w:t>Pa.C.S</w:t>
      </w:r>
      <w:proofErr w:type="spellEnd"/>
      <w:r>
        <w:t xml:space="preserve">. § 1353.  A utility must have an LTIIP </w:t>
      </w:r>
      <w:proofErr w:type="gramStart"/>
      <w:r>
        <w:t>in order to</w:t>
      </w:r>
      <w:proofErr w:type="gramEnd"/>
      <w:r>
        <w:t xml:space="preserve"> charge a DSIC.  66 </w:t>
      </w:r>
      <w:proofErr w:type="spellStart"/>
      <w:r>
        <w:t>Pa.C.S</w:t>
      </w:r>
      <w:proofErr w:type="spellEnd"/>
      <w:r>
        <w:t xml:space="preserve">. § 1352.  LTIIP regulations were enacted at 52 Pa. Code § 121. </w:t>
      </w:r>
    </w:p>
  </w:footnote>
  <w:footnote w:id="6">
    <w:p w14:paraId="2ADA0DE6" w14:textId="6062415D" w:rsidR="00F07789" w:rsidRDefault="00F07789">
      <w:pPr>
        <w:pStyle w:val="FootnoteText"/>
      </w:pPr>
      <w:r>
        <w:rPr>
          <w:rStyle w:val="FootnoteReference"/>
        </w:rPr>
        <w:footnoteRef/>
      </w:r>
      <w:r>
        <w:t xml:space="preserve"> </w:t>
      </w:r>
      <w:r w:rsidRPr="00164C95">
        <w:rPr>
          <w:i/>
          <w:iCs/>
        </w:rPr>
        <w:t>See</w:t>
      </w:r>
      <w:r w:rsidRPr="00F07789">
        <w:t xml:space="preserve"> 66 </w:t>
      </w:r>
      <w:proofErr w:type="spellStart"/>
      <w:r w:rsidRPr="00F07789">
        <w:t>Pa.C.S</w:t>
      </w:r>
      <w:proofErr w:type="spellEnd"/>
      <w:r w:rsidRPr="00F07789">
        <w:t>. § 1330, and 52 Pa. Code § 69.3302</w:t>
      </w:r>
      <w:r w:rsidR="00BD5910">
        <w:t xml:space="preserve"> for the statute and Commission policy on alternate forms of ratemaking</w:t>
      </w:r>
      <w:r w:rsidRPr="00F07789">
        <w:t xml:space="preserve">.  </w:t>
      </w:r>
    </w:p>
  </w:footnote>
  <w:footnote w:id="7">
    <w:p w14:paraId="23133479" w14:textId="77777777" w:rsidR="006B36E0" w:rsidRDefault="006B36E0" w:rsidP="006B36E0">
      <w:pPr>
        <w:pStyle w:val="FootnoteText"/>
      </w:pPr>
      <w:r>
        <w:rPr>
          <w:rStyle w:val="FootnoteReference"/>
        </w:rPr>
        <w:footnoteRef/>
      </w:r>
      <w:r>
        <w:t xml:space="preserve"> The IEEE methodologies utilized by the EDCs are found </w:t>
      </w:r>
      <w:bookmarkStart w:id="1" w:name="_Hlk71294298"/>
      <w:r>
        <w:t xml:space="preserve">at IEEE </w:t>
      </w:r>
      <w:r w:rsidRPr="00151E28">
        <w:t>1366-2012</w:t>
      </w:r>
      <w:r>
        <w:t xml:space="preserve">, </w:t>
      </w:r>
      <w:r w:rsidRPr="006C08AD">
        <w:rPr>
          <w:i/>
          <w:iCs/>
        </w:rPr>
        <w:t>IEEE Guide for Electric Power Distribution Reliability Indices</w:t>
      </w:r>
      <w:bookmarkEnd w:id="1"/>
      <w:r>
        <w:t xml:space="preserve">. </w:t>
      </w:r>
    </w:p>
  </w:footnote>
  <w:footnote w:id="8">
    <w:p w14:paraId="32D0D382" w14:textId="77777777" w:rsidR="006B36E0" w:rsidRDefault="006B36E0" w:rsidP="006B36E0">
      <w:pPr>
        <w:pStyle w:val="FootnoteText"/>
      </w:pPr>
      <w:r>
        <w:rPr>
          <w:rStyle w:val="FootnoteReference"/>
        </w:rPr>
        <w:footnoteRef/>
      </w:r>
      <w:r>
        <w:t xml:space="preserve"> The Commission defines events that may be excluded from the calculation of EDC reliability statistics as Major Events, which are defined at 52 Pa. Code § 57.192.  The IEEE methodology differs as exclusions are based on a statistical calculation of anomalous performance compared to average system performance, as contrasted to the Major Event definition where there may be some subjectivity as to when an “event” begins and ends.  </w:t>
      </w:r>
    </w:p>
  </w:footnote>
  <w:footnote w:id="9">
    <w:p w14:paraId="104EFBFE" w14:textId="77777777" w:rsidR="006B36E0" w:rsidRDefault="006B36E0" w:rsidP="006B36E0">
      <w:pPr>
        <w:pStyle w:val="FootnoteText"/>
      </w:pPr>
      <w:r>
        <w:rPr>
          <w:rStyle w:val="FootnoteReference"/>
        </w:rPr>
        <w:footnoteRef/>
      </w:r>
      <w:r>
        <w:t xml:space="preserve"> Some examples of where there were subjective differences between EDCs and TUS on what qualify as excludable events can be found at </w:t>
      </w:r>
      <w:r w:rsidRPr="005253E1">
        <w:rPr>
          <w:i/>
          <w:iCs/>
        </w:rPr>
        <w:t>Pennsylvania Electric Company v. Pennsylvania Public Utility Commission</w:t>
      </w:r>
      <w:r>
        <w:t xml:space="preserve">, Order entered December 1, 2011 at Docket No. </w:t>
      </w:r>
      <w:r w:rsidRPr="00C74DBA">
        <w:t>M-2011-2265890</w:t>
      </w:r>
      <w:r>
        <w:t xml:space="preserve">, and </w:t>
      </w:r>
      <w:r w:rsidRPr="005253E1">
        <w:rPr>
          <w:i/>
          <w:iCs/>
        </w:rPr>
        <w:t>Request of Metropolitan Edison Company for Exclusion of Major Outage for Reliability Reporting Purposes</w:t>
      </w:r>
      <w:r>
        <w:t xml:space="preserve">, Order entered November 14, 2019 at Docket No. </w:t>
      </w:r>
      <w:r w:rsidRPr="00C2713E">
        <w:t>M-2018-3004552</w:t>
      </w:r>
      <w:r>
        <w:t xml:space="preserve">.  </w:t>
      </w:r>
    </w:p>
  </w:footnote>
  <w:footnote w:id="10">
    <w:p w14:paraId="412609FA" w14:textId="77777777" w:rsidR="006B36E0" w:rsidRDefault="006B36E0" w:rsidP="006B36E0">
      <w:pPr>
        <w:pStyle w:val="FootnoteText"/>
      </w:pPr>
      <w:r>
        <w:rPr>
          <w:rStyle w:val="FootnoteReference"/>
        </w:rPr>
        <w:footnoteRef/>
      </w:r>
      <w:r>
        <w:t xml:space="preserve"> </w:t>
      </w:r>
      <w:r w:rsidRPr="0040100F">
        <w:rPr>
          <w:i/>
          <w:iCs/>
        </w:rPr>
        <w:t xml:space="preserve">See Electric Service Reliability </w:t>
      </w:r>
      <w:proofErr w:type="gramStart"/>
      <w:r w:rsidRPr="0040100F">
        <w:rPr>
          <w:i/>
          <w:iCs/>
        </w:rPr>
        <w:t>In</w:t>
      </w:r>
      <w:proofErr w:type="gramEnd"/>
      <w:r w:rsidRPr="0040100F">
        <w:rPr>
          <w:i/>
          <w:iCs/>
        </w:rPr>
        <w:t xml:space="preserve"> Pennsylvania 2019</w:t>
      </w:r>
      <w:r w:rsidRPr="0040100F">
        <w:t xml:space="preserve">, </w:t>
      </w:r>
      <w:r>
        <w:t xml:space="preserve">Executive Summary and </w:t>
      </w:r>
      <w:r w:rsidRPr="0040100F">
        <w:t>pages 2-4</w:t>
      </w:r>
      <w:r>
        <w:t xml:space="preserve">, for some background on the statutory requirements for electric reliability and how the benchmarks were established.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F24BE"/>
    <w:multiLevelType w:val="hybridMultilevel"/>
    <w:tmpl w:val="87AE9D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85652B6"/>
    <w:multiLevelType w:val="hybridMultilevel"/>
    <w:tmpl w:val="D5EAF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3E7DFE"/>
    <w:multiLevelType w:val="hybridMultilevel"/>
    <w:tmpl w:val="841CB784"/>
    <w:lvl w:ilvl="0" w:tplc="B7A267F0">
      <w:start w:val="1"/>
      <w:numFmt w:val="bullet"/>
      <w:lvlText w:val="◊"/>
      <w:lvlJc w:val="left"/>
      <w:pPr>
        <w:ind w:left="1440" w:hanging="360"/>
      </w:pPr>
      <w:rPr>
        <w:rFonts w:ascii="Agency FB" w:hAnsi="Agency FB"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AF7701"/>
    <w:multiLevelType w:val="hybridMultilevel"/>
    <w:tmpl w:val="9EF25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A335C0"/>
    <w:multiLevelType w:val="hybridMultilevel"/>
    <w:tmpl w:val="2E66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C29F2"/>
    <w:multiLevelType w:val="hybridMultilevel"/>
    <w:tmpl w:val="CDCC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603C4"/>
    <w:multiLevelType w:val="hybridMultilevel"/>
    <w:tmpl w:val="5EAAF5D4"/>
    <w:lvl w:ilvl="0" w:tplc="B7A267F0">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B866D3"/>
    <w:multiLevelType w:val="hybridMultilevel"/>
    <w:tmpl w:val="EAE6F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7"/>
  </w:num>
  <w:num w:numId="3">
    <w:abstractNumId w:val="3"/>
  </w:num>
  <w:num w:numId="4">
    <w:abstractNumId w:val="8"/>
  </w:num>
  <w:num w:numId="5">
    <w:abstractNumId w:val="22"/>
  </w:num>
  <w:num w:numId="6">
    <w:abstractNumId w:val="6"/>
  </w:num>
  <w:num w:numId="7">
    <w:abstractNumId w:val="23"/>
  </w:num>
  <w:num w:numId="8">
    <w:abstractNumId w:val="20"/>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0"/>
  </w:num>
  <w:num w:numId="15">
    <w:abstractNumId w:val="19"/>
  </w:num>
  <w:num w:numId="16">
    <w:abstractNumId w:val="5"/>
  </w:num>
  <w:num w:numId="17">
    <w:abstractNumId w:val="9"/>
  </w:num>
  <w:num w:numId="18">
    <w:abstractNumId w:val="2"/>
  </w:num>
  <w:num w:numId="19">
    <w:abstractNumId w:val="12"/>
  </w:num>
  <w:num w:numId="20">
    <w:abstractNumId w:val="13"/>
  </w:num>
  <w:num w:numId="21">
    <w:abstractNumId w:val="14"/>
  </w:num>
  <w:num w:numId="22">
    <w:abstractNumId w:val="16"/>
  </w:num>
  <w:num w:numId="23">
    <w:abstractNumId w:val="2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1E"/>
    <w:rsid w:val="00002658"/>
    <w:rsid w:val="000032F0"/>
    <w:rsid w:val="00014745"/>
    <w:rsid w:val="00016C43"/>
    <w:rsid w:val="00021147"/>
    <w:rsid w:val="0002313A"/>
    <w:rsid w:val="00025E21"/>
    <w:rsid w:val="00026B9B"/>
    <w:rsid w:val="00030EA6"/>
    <w:rsid w:val="000315CB"/>
    <w:rsid w:val="00031795"/>
    <w:rsid w:val="00035628"/>
    <w:rsid w:val="0004123B"/>
    <w:rsid w:val="000447A0"/>
    <w:rsid w:val="00046AA8"/>
    <w:rsid w:val="00046FC9"/>
    <w:rsid w:val="0004700F"/>
    <w:rsid w:val="00050485"/>
    <w:rsid w:val="00057178"/>
    <w:rsid w:val="00062A76"/>
    <w:rsid w:val="000726BA"/>
    <w:rsid w:val="00084529"/>
    <w:rsid w:val="00086F2D"/>
    <w:rsid w:val="00096913"/>
    <w:rsid w:val="000A1E0B"/>
    <w:rsid w:val="000A3296"/>
    <w:rsid w:val="000A4073"/>
    <w:rsid w:val="000A78F3"/>
    <w:rsid w:val="000C0BE0"/>
    <w:rsid w:val="000C519B"/>
    <w:rsid w:val="000C7752"/>
    <w:rsid w:val="000D54BC"/>
    <w:rsid w:val="000E06BD"/>
    <w:rsid w:val="000E236A"/>
    <w:rsid w:val="000E2980"/>
    <w:rsid w:val="000E3522"/>
    <w:rsid w:val="000F4632"/>
    <w:rsid w:val="000F5F50"/>
    <w:rsid w:val="001023B1"/>
    <w:rsid w:val="001048C8"/>
    <w:rsid w:val="001062F1"/>
    <w:rsid w:val="001072F4"/>
    <w:rsid w:val="00107B05"/>
    <w:rsid w:val="00110BC3"/>
    <w:rsid w:val="00111D7A"/>
    <w:rsid w:val="0011319C"/>
    <w:rsid w:val="001209F1"/>
    <w:rsid w:val="00121875"/>
    <w:rsid w:val="00121CB7"/>
    <w:rsid w:val="00126434"/>
    <w:rsid w:val="00126702"/>
    <w:rsid w:val="00133900"/>
    <w:rsid w:val="00134A78"/>
    <w:rsid w:val="00134E8B"/>
    <w:rsid w:val="00137FC2"/>
    <w:rsid w:val="0014047A"/>
    <w:rsid w:val="00140A67"/>
    <w:rsid w:val="00142748"/>
    <w:rsid w:val="00146EB6"/>
    <w:rsid w:val="0015126D"/>
    <w:rsid w:val="00151E28"/>
    <w:rsid w:val="0015671A"/>
    <w:rsid w:val="00162D58"/>
    <w:rsid w:val="00163A25"/>
    <w:rsid w:val="00164C95"/>
    <w:rsid w:val="0016731F"/>
    <w:rsid w:val="00170F7A"/>
    <w:rsid w:val="00172D79"/>
    <w:rsid w:val="001822EA"/>
    <w:rsid w:val="00183A7E"/>
    <w:rsid w:val="0019426D"/>
    <w:rsid w:val="00195546"/>
    <w:rsid w:val="0019737B"/>
    <w:rsid w:val="001A2DCD"/>
    <w:rsid w:val="001A3C0F"/>
    <w:rsid w:val="001A4102"/>
    <w:rsid w:val="001A7290"/>
    <w:rsid w:val="001B03CF"/>
    <w:rsid w:val="001B0540"/>
    <w:rsid w:val="001B2C6D"/>
    <w:rsid w:val="001B4DA3"/>
    <w:rsid w:val="001C7ABE"/>
    <w:rsid w:val="001E1183"/>
    <w:rsid w:val="001E1BF3"/>
    <w:rsid w:val="001E345B"/>
    <w:rsid w:val="001E3A60"/>
    <w:rsid w:val="001F329B"/>
    <w:rsid w:val="001F3E05"/>
    <w:rsid w:val="001F661F"/>
    <w:rsid w:val="001F7863"/>
    <w:rsid w:val="002008CA"/>
    <w:rsid w:val="002027E7"/>
    <w:rsid w:val="00204EB9"/>
    <w:rsid w:val="002132DD"/>
    <w:rsid w:val="00213CF6"/>
    <w:rsid w:val="0022149C"/>
    <w:rsid w:val="002229C3"/>
    <w:rsid w:val="002326FD"/>
    <w:rsid w:val="0024302D"/>
    <w:rsid w:val="00246F53"/>
    <w:rsid w:val="00247D21"/>
    <w:rsid w:val="0025501A"/>
    <w:rsid w:val="00261EC0"/>
    <w:rsid w:val="002744D7"/>
    <w:rsid w:val="0027732D"/>
    <w:rsid w:val="00280A11"/>
    <w:rsid w:val="00281FC3"/>
    <w:rsid w:val="002874B9"/>
    <w:rsid w:val="00292ED2"/>
    <w:rsid w:val="0029471C"/>
    <w:rsid w:val="002A0616"/>
    <w:rsid w:val="002A2528"/>
    <w:rsid w:val="002A2B4A"/>
    <w:rsid w:val="002A2F74"/>
    <w:rsid w:val="002A43DC"/>
    <w:rsid w:val="002A51D6"/>
    <w:rsid w:val="002B0543"/>
    <w:rsid w:val="002B37D7"/>
    <w:rsid w:val="002B4BD4"/>
    <w:rsid w:val="002B4D27"/>
    <w:rsid w:val="002B618E"/>
    <w:rsid w:val="002C0C5B"/>
    <w:rsid w:val="002C1645"/>
    <w:rsid w:val="002C4503"/>
    <w:rsid w:val="002C49E3"/>
    <w:rsid w:val="002C653E"/>
    <w:rsid w:val="002C7D3E"/>
    <w:rsid w:val="002D1E8E"/>
    <w:rsid w:val="002D62C3"/>
    <w:rsid w:val="002D75A1"/>
    <w:rsid w:val="002E03A1"/>
    <w:rsid w:val="002E2DBA"/>
    <w:rsid w:val="002E3A77"/>
    <w:rsid w:val="002E3C4E"/>
    <w:rsid w:val="002F0138"/>
    <w:rsid w:val="003015BC"/>
    <w:rsid w:val="003032E0"/>
    <w:rsid w:val="0030437D"/>
    <w:rsid w:val="003049AB"/>
    <w:rsid w:val="00304B24"/>
    <w:rsid w:val="00307364"/>
    <w:rsid w:val="00310263"/>
    <w:rsid w:val="003106B5"/>
    <w:rsid w:val="00311DBE"/>
    <w:rsid w:val="00314869"/>
    <w:rsid w:val="00314CEB"/>
    <w:rsid w:val="00317ACE"/>
    <w:rsid w:val="00322A23"/>
    <w:rsid w:val="00325403"/>
    <w:rsid w:val="0032670F"/>
    <w:rsid w:val="00332AEB"/>
    <w:rsid w:val="00332EE9"/>
    <w:rsid w:val="003569E8"/>
    <w:rsid w:val="00361704"/>
    <w:rsid w:val="0036676B"/>
    <w:rsid w:val="00366ACD"/>
    <w:rsid w:val="00374D2E"/>
    <w:rsid w:val="003754AA"/>
    <w:rsid w:val="00385105"/>
    <w:rsid w:val="003878A0"/>
    <w:rsid w:val="003904DE"/>
    <w:rsid w:val="003A1C6F"/>
    <w:rsid w:val="003A3858"/>
    <w:rsid w:val="003A6101"/>
    <w:rsid w:val="003A7173"/>
    <w:rsid w:val="003B45C5"/>
    <w:rsid w:val="003B4AA9"/>
    <w:rsid w:val="003C405C"/>
    <w:rsid w:val="003C479E"/>
    <w:rsid w:val="003E452E"/>
    <w:rsid w:val="003E7239"/>
    <w:rsid w:val="003F08CC"/>
    <w:rsid w:val="003F1948"/>
    <w:rsid w:val="003F604C"/>
    <w:rsid w:val="003F79A7"/>
    <w:rsid w:val="0040100F"/>
    <w:rsid w:val="00404133"/>
    <w:rsid w:val="00411527"/>
    <w:rsid w:val="00411E0B"/>
    <w:rsid w:val="004125EF"/>
    <w:rsid w:val="00413702"/>
    <w:rsid w:val="00423966"/>
    <w:rsid w:val="00427AD9"/>
    <w:rsid w:val="00432141"/>
    <w:rsid w:val="0044224A"/>
    <w:rsid w:val="00442D19"/>
    <w:rsid w:val="004441C0"/>
    <w:rsid w:val="0044456C"/>
    <w:rsid w:val="00447966"/>
    <w:rsid w:val="00450096"/>
    <w:rsid w:val="0046411C"/>
    <w:rsid w:val="00467782"/>
    <w:rsid w:val="00471A21"/>
    <w:rsid w:val="00472043"/>
    <w:rsid w:val="00475C44"/>
    <w:rsid w:val="004832A5"/>
    <w:rsid w:val="0049275E"/>
    <w:rsid w:val="00495FC5"/>
    <w:rsid w:val="004A0C55"/>
    <w:rsid w:val="004A5DCC"/>
    <w:rsid w:val="004A5F4E"/>
    <w:rsid w:val="004B07D2"/>
    <w:rsid w:val="004B37DE"/>
    <w:rsid w:val="004B5C2A"/>
    <w:rsid w:val="004B61C1"/>
    <w:rsid w:val="004B781B"/>
    <w:rsid w:val="004C7AD6"/>
    <w:rsid w:val="004D1937"/>
    <w:rsid w:val="004D2698"/>
    <w:rsid w:val="004D3308"/>
    <w:rsid w:val="004E2A94"/>
    <w:rsid w:val="004F04FE"/>
    <w:rsid w:val="004F2077"/>
    <w:rsid w:val="005029A9"/>
    <w:rsid w:val="0050362A"/>
    <w:rsid w:val="00505171"/>
    <w:rsid w:val="0050568E"/>
    <w:rsid w:val="005117A3"/>
    <w:rsid w:val="005138E9"/>
    <w:rsid w:val="0051639C"/>
    <w:rsid w:val="005253E1"/>
    <w:rsid w:val="0052665A"/>
    <w:rsid w:val="0053323B"/>
    <w:rsid w:val="00537149"/>
    <w:rsid w:val="0053714C"/>
    <w:rsid w:val="00541DB3"/>
    <w:rsid w:val="005424F7"/>
    <w:rsid w:val="005427BF"/>
    <w:rsid w:val="00547E06"/>
    <w:rsid w:val="0055173D"/>
    <w:rsid w:val="00553472"/>
    <w:rsid w:val="00554C1F"/>
    <w:rsid w:val="00557565"/>
    <w:rsid w:val="0056070D"/>
    <w:rsid w:val="005627F1"/>
    <w:rsid w:val="00567746"/>
    <w:rsid w:val="0057207C"/>
    <w:rsid w:val="005727D7"/>
    <w:rsid w:val="0057487F"/>
    <w:rsid w:val="00575806"/>
    <w:rsid w:val="0057630B"/>
    <w:rsid w:val="0058420A"/>
    <w:rsid w:val="00587D4B"/>
    <w:rsid w:val="005902E7"/>
    <w:rsid w:val="00590DCB"/>
    <w:rsid w:val="00597B36"/>
    <w:rsid w:val="005A5824"/>
    <w:rsid w:val="005B0327"/>
    <w:rsid w:val="005B1DE2"/>
    <w:rsid w:val="005B28AE"/>
    <w:rsid w:val="005B7295"/>
    <w:rsid w:val="005C12B4"/>
    <w:rsid w:val="005C23B5"/>
    <w:rsid w:val="005C2839"/>
    <w:rsid w:val="005C5EF3"/>
    <w:rsid w:val="005C72CF"/>
    <w:rsid w:val="005D0ED6"/>
    <w:rsid w:val="005D5E72"/>
    <w:rsid w:val="005D7FCE"/>
    <w:rsid w:val="005E25C5"/>
    <w:rsid w:val="005F0258"/>
    <w:rsid w:val="005F02D9"/>
    <w:rsid w:val="00602573"/>
    <w:rsid w:val="00602622"/>
    <w:rsid w:val="00605380"/>
    <w:rsid w:val="00606C17"/>
    <w:rsid w:val="0061154B"/>
    <w:rsid w:val="00614C85"/>
    <w:rsid w:val="00615ECB"/>
    <w:rsid w:val="00617CEC"/>
    <w:rsid w:val="00622D93"/>
    <w:rsid w:val="0063021B"/>
    <w:rsid w:val="0063422A"/>
    <w:rsid w:val="006354F1"/>
    <w:rsid w:val="0064349C"/>
    <w:rsid w:val="00644843"/>
    <w:rsid w:val="0065214F"/>
    <w:rsid w:val="006538B5"/>
    <w:rsid w:val="006549BB"/>
    <w:rsid w:val="0066142A"/>
    <w:rsid w:val="006659D1"/>
    <w:rsid w:val="006678F2"/>
    <w:rsid w:val="00667D8F"/>
    <w:rsid w:val="00667FD9"/>
    <w:rsid w:val="006713F1"/>
    <w:rsid w:val="006744F0"/>
    <w:rsid w:val="006755C0"/>
    <w:rsid w:val="00675A36"/>
    <w:rsid w:val="006843D3"/>
    <w:rsid w:val="00686497"/>
    <w:rsid w:val="00686A4C"/>
    <w:rsid w:val="006938BB"/>
    <w:rsid w:val="00694301"/>
    <w:rsid w:val="00694E70"/>
    <w:rsid w:val="00697209"/>
    <w:rsid w:val="006A313C"/>
    <w:rsid w:val="006A727E"/>
    <w:rsid w:val="006B044C"/>
    <w:rsid w:val="006B307C"/>
    <w:rsid w:val="006B36E0"/>
    <w:rsid w:val="006B4889"/>
    <w:rsid w:val="006B773E"/>
    <w:rsid w:val="006C08AD"/>
    <w:rsid w:val="006C0CC8"/>
    <w:rsid w:val="006C5F92"/>
    <w:rsid w:val="006C7CBD"/>
    <w:rsid w:val="006D67DC"/>
    <w:rsid w:val="006D73F3"/>
    <w:rsid w:val="006E00A9"/>
    <w:rsid w:val="006E7EF7"/>
    <w:rsid w:val="006F3836"/>
    <w:rsid w:val="006F4A92"/>
    <w:rsid w:val="006F614A"/>
    <w:rsid w:val="006F7413"/>
    <w:rsid w:val="00702D23"/>
    <w:rsid w:val="00704F63"/>
    <w:rsid w:val="00710DBE"/>
    <w:rsid w:val="00714833"/>
    <w:rsid w:val="00715BE9"/>
    <w:rsid w:val="0071761F"/>
    <w:rsid w:val="00723893"/>
    <w:rsid w:val="00725105"/>
    <w:rsid w:val="00733109"/>
    <w:rsid w:val="00734124"/>
    <w:rsid w:val="007353C2"/>
    <w:rsid w:val="00736760"/>
    <w:rsid w:val="0073791C"/>
    <w:rsid w:val="0074179E"/>
    <w:rsid w:val="00746F33"/>
    <w:rsid w:val="00750EF6"/>
    <w:rsid w:val="007617B1"/>
    <w:rsid w:val="007652EF"/>
    <w:rsid w:val="00767670"/>
    <w:rsid w:val="00770A20"/>
    <w:rsid w:val="00774136"/>
    <w:rsid w:val="007759F9"/>
    <w:rsid w:val="007762F7"/>
    <w:rsid w:val="00785B5A"/>
    <w:rsid w:val="0078658C"/>
    <w:rsid w:val="007914EF"/>
    <w:rsid w:val="007979FC"/>
    <w:rsid w:val="007A1714"/>
    <w:rsid w:val="007A34A7"/>
    <w:rsid w:val="007A6505"/>
    <w:rsid w:val="007B25D8"/>
    <w:rsid w:val="007B3125"/>
    <w:rsid w:val="007B44A0"/>
    <w:rsid w:val="007C2837"/>
    <w:rsid w:val="007C7339"/>
    <w:rsid w:val="007D3353"/>
    <w:rsid w:val="007D6818"/>
    <w:rsid w:val="007E132D"/>
    <w:rsid w:val="007E1E5C"/>
    <w:rsid w:val="007E3F38"/>
    <w:rsid w:val="007E5AA6"/>
    <w:rsid w:val="007E6ACB"/>
    <w:rsid w:val="007E770A"/>
    <w:rsid w:val="007F0050"/>
    <w:rsid w:val="0080690D"/>
    <w:rsid w:val="00813B38"/>
    <w:rsid w:val="00820782"/>
    <w:rsid w:val="008241DB"/>
    <w:rsid w:val="00830481"/>
    <w:rsid w:val="00831D49"/>
    <w:rsid w:val="00837AD5"/>
    <w:rsid w:val="008427B0"/>
    <w:rsid w:val="00842C02"/>
    <w:rsid w:val="00843622"/>
    <w:rsid w:val="00846A98"/>
    <w:rsid w:val="008533EC"/>
    <w:rsid w:val="008554B6"/>
    <w:rsid w:val="00856852"/>
    <w:rsid w:val="00861DE7"/>
    <w:rsid w:val="00873A35"/>
    <w:rsid w:val="008754F2"/>
    <w:rsid w:val="00875C23"/>
    <w:rsid w:val="00881B7D"/>
    <w:rsid w:val="008835B6"/>
    <w:rsid w:val="00887FF1"/>
    <w:rsid w:val="008A043E"/>
    <w:rsid w:val="008B0AD2"/>
    <w:rsid w:val="008B1666"/>
    <w:rsid w:val="008B2F83"/>
    <w:rsid w:val="008C23D8"/>
    <w:rsid w:val="008C246C"/>
    <w:rsid w:val="008C5E73"/>
    <w:rsid w:val="008D00DC"/>
    <w:rsid w:val="008D2D06"/>
    <w:rsid w:val="008E3A35"/>
    <w:rsid w:val="00900D5F"/>
    <w:rsid w:val="00902959"/>
    <w:rsid w:val="009056AA"/>
    <w:rsid w:val="009070CE"/>
    <w:rsid w:val="0091625E"/>
    <w:rsid w:val="00916735"/>
    <w:rsid w:val="00932A73"/>
    <w:rsid w:val="0093372C"/>
    <w:rsid w:val="00935247"/>
    <w:rsid w:val="00935E57"/>
    <w:rsid w:val="00942E5E"/>
    <w:rsid w:val="00944B47"/>
    <w:rsid w:val="00945DEF"/>
    <w:rsid w:val="00952DD5"/>
    <w:rsid w:val="0095434D"/>
    <w:rsid w:val="009544FF"/>
    <w:rsid w:val="00956B9D"/>
    <w:rsid w:val="00961E2E"/>
    <w:rsid w:val="00963462"/>
    <w:rsid w:val="0096632A"/>
    <w:rsid w:val="00970E9D"/>
    <w:rsid w:val="00971459"/>
    <w:rsid w:val="00972D1D"/>
    <w:rsid w:val="009748EA"/>
    <w:rsid w:val="00977999"/>
    <w:rsid w:val="00977B3F"/>
    <w:rsid w:val="00981A5A"/>
    <w:rsid w:val="009862C8"/>
    <w:rsid w:val="009869CD"/>
    <w:rsid w:val="0099470B"/>
    <w:rsid w:val="009954C2"/>
    <w:rsid w:val="009A23F2"/>
    <w:rsid w:val="009A5243"/>
    <w:rsid w:val="009B11FA"/>
    <w:rsid w:val="009B23D8"/>
    <w:rsid w:val="009B4557"/>
    <w:rsid w:val="009B63E1"/>
    <w:rsid w:val="009B6F6B"/>
    <w:rsid w:val="009C2206"/>
    <w:rsid w:val="009C571F"/>
    <w:rsid w:val="009C7086"/>
    <w:rsid w:val="009D1A9E"/>
    <w:rsid w:val="009D1C20"/>
    <w:rsid w:val="009D4A8B"/>
    <w:rsid w:val="009E40EC"/>
    <w:rsid w:val="009E5B71"/>
    <w:rsid w:val="009E5C5A"/>
    <w:rsid w:val="009F5F66"/>
    <w:rsid w:val="009F739C"/>
    <w:rsid w:val="009F7522"/>
    <w:rsid w:val="009F7E84"/>
    <w:rsid w:val="00A0034F"/>
    <w:rsid w:val="00A01138"/>
    <w:rsid w:val="00A03162"/>
    <w:rsid w:val="00A048AB"/>
    <w:rsid w:val="00A04C00"/>
    <w:rsid w:val="00A1264C"/>
    <w:rsid w:val="00A12CDD"/>
    <w:rsid w:val="00A20C12"/>
    <w:rsid w:val="00A254D2"/>
    <w:rsid w:val="00A374EE"/>
    <w:rsid w:val="00A42B51"/>
    <w:rsid w:val="00A43056"/>
    <w:rsid w:val="00A46963"/>
    <w:rsid w:val="00A50669"/>
    <w:rsid w:val="00A515ED"/>
    <w:rsid w:val="00A5263D"/>
    <w:rsid w:val="00A648A1"/>
    <w:rsid w:val="00A64A4F"/>
    <w:rsid w:val="00A72D60"/>
    <w:rsid w:val="00A74877"/>
    <w:rsid w:val="00A74F23"/>
    <w:rsid w:val="00A757C9"/>
    <w:rsid w:val="00A777B5"/>
    <w:rsid w:val="00A8103B"/>
    <w:rsid w:val="00A82148"/>
    <w:rsid w:val="00A87F18"/>
    <w:rsid w:val="00A94E60"/>
    <w:rsid w:val="00AA1AEC"/>
    <w:rsid w:val="00AA2E1B"/>
    <w:rsid w:val="00AA30E9"/>
    <w:rsid w:val="00AA5849"/>
    <w:rsid w:val="00AA6C26"/>
    <w:rsid w:val="00AB1E78"/>
    <w:rsid w:val="00AB490E"/>
    <w:rsid w:val="00AB497F"/>
    <w:rsid w:val="00AB53D2"/>
    <w:rsid w:val="00AB57E2"/>
    <w:rsid w:val="00AB7834"/>
    <w:rsid w:val="00AD0506"/>
    <w:rsid w:val="00AD0A9B"/>
    <w:rsid w:val="00AD1128"/>
    <w:rsid w:val="00AD235D"/>
    <w:rsid w:val="00AE0F99"/>
    <w:rsid w:val="00AE3480"/>
    <w:rsid w:val="00AE64C8"/>
    <w:rsid w:val="00B012BC"/>
    <w:rsid w:val="00B04B8D"/>
    <w:rsid w:val="00B07D24"/>
    <w:rsid w:val="00B11048"/>
    <w:rsid w:val="00B12C5F"/>
    <w:rsid w:val="00B14362"/>
    <w:rsid w:val="00B17CD9"/>
    <w:rsid w:val="00B23FFC"/>
    <w:rsid w:val="00B25EAE"/>
    <w:rsid w:val="00B3439A"/>
    <w:rsid w:val="00B35685"/>
    <w:rsid w:val="00B42F3C"/>
    <w:rsid w:val="00B43448"/>
    <w:rsid w:val="00B44FCF"/>
    <w:rsid w:val="00B45149"/>
    <w:rsid w:val="00B463E0"/>
    <w:rsid w:val="00B61CDD"/>
    <w:rsid w:val="00B70C18"/>
    <w:rsid w:val="00B7525D"/>
    <w:rsid w:val="00B75824"/>
    <w:rsid w:val="00B8374F"/>
    <w:rsid w:val="00B858E4"/>
    <w:rsid w:val="00B907B4"/>
    <w:rsid w:val="00B9688D"/>
    <w:rsid w:val="00B96FB5"/>
    <w:rsid w:val="00BB283A"/>
    <w:rsid w:val="00BB79A9"/>
    <w:rsid w:val="00BC7E75"/>
    <w:rsid w:val="00BD08AE"/>
    <w:rsid w:val="00BD5910"/>
    <w:rsid w:val="00BD600D"/>
    <w:rsid w:val="00BE1611"/>
    <w:rsid w:val="00BE2BBD"/>
    <w:rsid w:val="00BE4A72"/>
    <w:rsid w:val="00BE5119"/>
    <w:rsid w:val="00BF1031"/>
    <w:rsid w:val="00BF6698"/>
    <w:rsid w:val="00C07570"/>
    <w:rsid w:val="00C07BA1"/>
    <w:rsid w:val="00C07CE6"/>
    <w:rsid w:val="00C10EAF"/>
    <w:rsid w:val="00C12EFD"/>
    <w:rsid w:val="00C1322D"/>
    <w:rsid w:val="00C200A7"/>
    <w:rsid w:val="00C20C6C"/>
    <w:rsid w:val="00C2525F"/>
    <w:rsid w:val="00C26B8C"/>
    <w:rsid w:val="00C2713E"/>
    <w:rsid w:val="00C3034E"/>
    <w:rsid w:val="00C359BE"/>
    <w:rsid w:val="00C3654A"/>
    <w:rsid w:val="00C404A8"/>
    <w:rsid w:val="00C42C2C"/>
    <w:rsid w:val="00C45DCB"/>
    <w:rsid w:val="00C46EDA"/>
    <w:rsid w:val="00C55BE6"/>
    <w:rsid w:val="00C576BD"/>
    <w:rsid w:val="00C71782"/>
    <w:rsid w:val="00C725F5"/>
    <w:rsid w:val="00C74A51"/>
    <w:rsid w:val="00C74DBA"/>
    <w:rsid w:val="00C76DC9"/>
    <w:rsid w:val="00C77F29"/>
    <w:rsid w:val="00C81C8C"/>
    <w:rsid w:val="00C86CB2"/>
    <w:rsid w:val="00C90506"/>
    <w:rsid w:val="00C90A86"/>
    <w:rsid w:val="00C976F6"/>
    <w:rsid w:val="00CA0D15"/>
    <w:rsid w:val="00CA2448"/>
    <w:rsid w:val="00CA358F"/>
    <w:rsid w:val="00CA73D1"/>
    <w:rsid w:val="00CB2E62"/>
    <w:rsid w:val="00CB3C4B"/>
    <w:rsid w:val="00CB5738"/>
    <w:rsid w:val="00CC0368"/>
    <w:rsid w:val="00CC04ED"/>
    <w:rsid w:val="00CC2C1E"/>
    <w:rsid w:val="00CC3657"/>
    <w:rsid w:val="00CD0DE9"/>
    <w:rsid w:val="00CD0FDC"/>
    <w:rsid w:val="00CD250D"/>
    <w:rsid w:val="00CD3C0B"/>
    <w:rsid w:val="00CD5B64"/>
    <w:rsid w:val="00CD69FA"/>
    <w:rsid w:val="00CD6FBF"/>
    <w:rsid w:val="00CD7948"/>
    <w:rsid w:val="00CE1EAB"/>
    <w:rsid w:val="00CE41FB"/>
    <w:rsid w:val="00CE542D"/>
    <w:rsid w:val="00CE70DC"/>
    <w:rsid w:val="00CE7A6F"/>
    <w:rsid w:val="00CF047C"/>
    <w:rsid w:val="00CF197F"/>
    <w:rsid w:val="00CF24D5"/>
    <w:rsid w:val="00CF4573"/>
    <w:rsid w:val="00CF5599"/>
    <w:rsid w:val="00CF55DF"/>
    <w:rsid w:val="00D01AFD"/>
    <w:rsid w:val="00D0471D"/>
    <w:rsid w:val="00D04EB1"/>
    <w:rsid w:val="00D064EE"/>
    <w:rsid w:val="00D067BD"/>
    <w:rsid w:val="00D13BC0"/>
    <w:rsid w:val="00D146D4"/>
    <w:rsid w:val="00D244B2"/>
    <w:rsid w:val="00D25979"/>
    <w:rsid w:val="00D26150"/>
    <w:rsid w:val="00D26DDA"/>
    <w:rsid w:val="00D2712E"/>
    <w:rsid w:val="00D31A74"/>
    <w:rsid w:val="00D33599"/>
    <w:rsid w:val="00D339B2"/>
    <w:rsid w:val="00D40E45"/>
    <w:rsid w:val="00D4496F"/>
    <w:rsid w:val="00D47C63"/>
    <w:rsid w:val="00D53F6A"/>
    <w:rsid w:val="00D5472C"/>
    <w:rsid w:val="00D5498A"/>
    <w:rsid w:val="00D55A7A"/>
    <w:rsid w:val="00D610F8"/>
    <w:rsid w:val="00D6200A"/>
    <w:rsid w:val="00D62E64"/>
    <w:rsid w:val="00D63D5F"/>
    <w:rsid w:val="00D668F0"/>
    <w:rsid w:val="00D66EEE"/>
    <w:rsid w:val="00D67450"/>
    <w:rsid w:val="00D7124D"/>
    <w:rsid w:val="00D7139A"/>
    <w:rsid w:val="00D721B7"/>
    <w:rsid w:val="00D77B80"/>
    <w:rsid w:val="00D803C0"/>
    <w:rsid w:val="00D80E76"/>
    <w:rsid w:val="00D841EC"/>
    <w:rsid w:val="00D90002"/>
    <w:rsid w:val="00D91083"/>
    <w:rsid w:val="00D927DA"/>
    <w:rsid w:val="00DA04A8"/>
    <w:rsid w:val="00DA401C"/>
    <w:rsid w:val="00DA41A4"/>
    <w:rsid w:val="00DB1393"/>
    <w:rsid w:val="00DB6A8A"/>
    <w:rsid w:val="00DC06D2"/>
    <w:rsid w:val="00DC2A61"/>
    <w:rsid w:val="00DC7766"/>
    <w:rsid w:val="00DC7B54"/>
    <w:rsid w:val="00DD20B1"/>
    <w:rsid w:val="00DD21C3"/>
    <w:rsid w:val="00DD565D"/>
    <w:rsid w:val="00DD5A6B"/>
    <w:rsid w:val="00DD5E8B"/>
    <w:rsid w:val="00DF5953"/>
    <w:rsid w:val="00DF60C7"/>
    <w:rsid w:val="00DF70EC"/>
    <w:rsid w:val="00E01C4C"/>
    <w:rsid w:val="00E1190D"/>
    <w:rsid w:val="00E1707F"/>
    <w:rsid w:val="00E23673"/>
    <w:rsid w:val="00E23926"/>
    <w:rsid w:val="00E264DC"/>
    <w:rsid w:val="00E3269B"/>
    <w:rsid w:val="00E33D31"/>
    <w:rsid w:val="00E3492D"/>
    <w:rsid w:val="00E349DA"/>
    <w:rsid w:val="00E36089"/>
    <w:rsid w:val="00E42DE0"/>
    <w:rsid w:val="00E42E96"/>
    <w:rsid w:val="00E435EF"/>
    <w:rsid w:val="00E43A98"/>
    <w:rsid w:val="00E45602"/>
    <w:rsid w:val="00E465EC"/>
    <w:rsid w:val="00E54F6B"/>
    <w:rsid w:val="00E5591C"/>
    <w:rsid w:val="00E559A1"/>
    <w:rsid w:val="00E578AC"/>
    <w:rsid w:val="00E616FF"/>
    <w:rsid w:val="00E62236"/>
    <w:rsid w:val="00E63103"/>
    <w:rsid w:val="00E65125"/>
    <w:rsid w:val="00E67B87"/>
    <w:rsid w:val="00E70A5C"/>
    <w:rsid w:val="00E73061"/>
    <w:rsid w:val="00E750B4"/>
    <w:rsid w:val="00E756CF"/>
    <w:rsid w:val="00E83E92"/>
    <w:rsid w:val="00E8405C"/>
    <w:rsid w:val="00E916B9"/>
    <w:rsid w:val="00E96226"/>
    <w:rsid w:val="00EA4C08"/>
    <w:rsid w:val="00EA7392"/>
    <w:rsid w:val="00EB13A7"/>
    <w:rsid w:val="00EB2540"/>
    <w:rsid w:val="00EB25D8"/>
    <w:rsid w:val="00EB2BA0"/>
    <w:rsid w:val="00EB6DAA"/>
    <w:rsid w:val="00EC05C5"/>
    <w:rsid w:val="00EC246D"/>
    <w:rsid w:val="00EC3641"/>
    <w:rsid w:val="00EC75EB"/>
    <w:rsid w:val="00EC7D0E"/>
    <w:rsid w:val="00ED2069"/>
    <w:rsid w:val="00ED23FA"/>
    <w:rsid w:val="00ED63FB"/>
    <w:rsid w:val="00ED73CC"/>
    <w:rsid w:val="00ED77B9"/>
    <w:rsid w:val="00EE095B"/>
    <w:rsid w:val="00EE3CF3"/>
    <w:rsid w:val="00EE59C4"/>
    <w:rsid w:val="00EF2CA2"/>
    <w:rsid w:val="00EF322C"/>
    <w:rsid w:val="00EF5C0F"/>
    <w:rsid w:val="00EF7D0D"/>
    <w:rsid w:val="00F00BF1"/>
    <w:rsid w:val="00F07789"/>
    <w:rsid w:val="00F158EF"/>
    <w:rsid w:val="00F21026"/>
    <w:rsid w:val="00F210D1"/>
    <w:rsid w:val="00F306E7"/>
    <w:rsid w:val="00F3099A"/>
    <w:rsid w:val="00F30BD9"/>
    <w:rsid w:val="00F31AD3"/>
    <w:rsid w:val="00F41A9B"/>
    <w:rsid w:val="00F437DA"/>
    <w:rsid w:val="00F50FA1"/>
    <w:rsid w:val="00F51C5E"/>
    <w:rsid w:val="00F52D80"/>
    <w:rsid w:val="00F5640A"/>
    <w:rsid w:val="00F63D91"/>
    <w:rsid w:val="00F66053"/>
    <w:rsid w:val="00F7094C"/>
    <w:rsid w:val="00F70D26"/>
    <w:rsid w:val="00F73C4A"/>
    <w:rsid w:val="00F75EE4"/>
    <w:rsid w:val="00F803CA"/>
    <w:rsid w:val="00F859CF"/>
    <w:rsid w:val="00F911D7"/>
    <w:rsid w:val="00F92127"/>
    <w:rsid w:val="00FA0E37"/>
    <w:rsid w:val="00FA2FC1"/>
    <w:rsid w:val="00FA30F0"/>
    <w:rsid w:val="00FB00AD"/>
    <w:rsid w:val="00FB14FF"/>
    <w:rsid w:val="00FB5B4F"/>
    <w:rsid w:val="00FB5B81"/>
    <w:rsid w:val="00FC1A88"/>
    <w:rsid w:val="00FC2644"/>
    <w:rsid w:val="00FC304C"/>
    <w:rsid w:val="00FC66EE"/>
    <w:rsid w:val="00FC7798"/>
    <w:rsid w:val="00FC7B5D"/>
    <w:rsid w:val="00FD1BF1"/>
    <w:rsid w:val="00FD48E7"/>
    <w:rsid w:val="00FD5436"/>
    <w:rsid w:val="00FE0D00"/>
    <w:rsid w:val="00FE2144"/>
    <w:rsid w:val="00FE5D97"/>
    <w:rsid w:val="00FE7660"/>
    <w:rsid w:val="00FF5573"/>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E4C61"/>
  <w15:docId w15:val="{A13D4B37-340A-470E-9E65-DA30950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953"/>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3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ABE"/>
  </w:style>
  <w:style w:type="character" w:styleId="UnresolvedMention">
    <w:name w:val="Unresolved Mention"/>
    <w:basedOn w:val="DefaultParagraphFont"/>
    <w:uiPriority w:val="99"/>
    <w:semiHidden/>
    <w:unhideWhenUsed/>
    <w:rsid w:val="0058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vanzant@pa.gov" TargetMode="External"/><Relationship Id="rId4" Type="http://schemas.openxmlformats.org/officeDocument/2006/relationships/settings" Target="settings.xml"/><Relationship Id="rId9" Type="http://schemas.openxmlformats.org/officeDocument/2006/relationships/hyperlink" Target="mailto:RA-PCELECREL@pa.go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uc.pa.gov/filing-resources/reports/electric-service-reliability-report/" TargetMode="External"/><Relationship Id="rId1" Type="http://schemas.openxmlformats.org/officeDocument/2006/relationships/hyperlink" Target="https://www.puc.pa.gov/General/publications_reports/pdf/Electric_Service_Reliabilit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A110-4058-46E2-95FB-24C4E4CF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2</cp:revision>
  <cp:lastPrinted>2017-09-18T12:53:00Z</cp:lastPrinted>
  <dcterms:created xsi:type="dcterms:W3CDTF">2021-06-03T16:54:00Z</dcterms:created>
  <dcterms:modified xsi:type="dcterms:W3CDTF">2021-06-03T16:54:00Z</dcterms:modified>
</cp:coreProperties>
</file>